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A4BF" w14:textId="1B083DBC" w:rsidR="00DB3E36" w:rsidRDefault="00733F2F" w:rsidP="00733F2F">
      <w:pPr>
        <w:jc w:val="center"/>
        <w:rPr>
          <w:b/>
          <w:sz w:val="28"/>
          <w:szCs w:val="24"/>
        </w:rPr>
      </w:pPr>
      <w:r w:rsidRPr="00733F2F">
        <w:rPr>
          <w:b/>
          <w:sz w:val="28"/>
          <w:szCs w:val="24"/>
        </w:rPr>
        <w:t>Adapting the D1S Methodology for High-Fluence Fusion Environments with Tungsten: application to ITER</w:t>
      </w:r>
    </w:p>
    <w:p w14:paraId="17106EBC" w14:textId="77777777" w:rsidR="004B1EB3" w:rsidRPr="00663F85" w:rsidRDefault="004B1EB3" w:rsidP="00733F2F">
      <w:pPr>
        <w:jc w:val="center"/>
        <w:rPr>
          <w:b/>
          <w:sz w:val="24"/>
        </w:rPr>
      </w:pPr>
    </w:p>
    <w:p w14:paraId="21581F21" w14:textId="77777777" w:rsidR="00733F2F" w:rsidRPr="00270D7B" w:rsidRDefault="00733F2F" w:rsidP="00733F2F">
      <w:pPr>
        <w:pStyle w:val="NormalWeb"/>
        <w:jc w:val="center"/>
      </w:pPr>
      <w:r w:rsidRPr="00270D7B">
        <w:t>Alberto Bittesnich</w:t>
      </w:r>
      <w:r w:rsidRPr="00270D7B">
        <w:rPr>
          <w:vertAlign w:val="superscript"/>
        </w:rPr>
        <w:t>a,b</w:t>
      </w:r>
      <w:r w:rsidRPr="00270D7B">
        <w:t>, Marco Fabbri</w:t>
      </w:r>
      <w:r w:rsidRPr="00270D7B">
        <w:rPr>
          <w:vertAlign w:val="superscript"/>
        </w:rPr>
        <w:t>c</w:t>
      </w:r>
      <w:r w:rsidRPr="00270D7B">
        <w:t xml:space="preserve">, </w:t>
      </w:r>
      <w:r w:rsidRPr="004B6F6A">
        <w:t>Patrick Sauvan</w:t>
      </w:r>
      <w:r w:rsidRPr="004B6F6A">
        <w:rPr>
          <w:vertAlign w:val="superscript"/>
        </w:rPr>
        <w:t>d</w:t>
      </w:r>
      <w:r>
        <w:t xml:space="preserve">, </w:t>
      </w:r>
      <w:r w:rsidRPr="00270D7B">
        <w:t xml:space="preserve">Antonio </w:t>
      </w:r>
      <w:r>
        <w:t xml:space="preserve">Jesus </w:t>
      </w:r>
      <w:r w:rsidRPr="00270D7B">
        <w:t>Lopez</w:t>
      </w:r>
      <w:r>
        <w:t>-</w:t>
      </w:r>
      <w:r w:rsidRPr="00270D7B">
        <w:t>Revelles</w:t>
      </w:r>
      <w:r w:rsidRPr="004B6F6A">
        <w:rPr>
          <w:vertAlign w:val="superscript"/>
        </w:rPr>
        <w:t>d</w:t>
      </w:r>
      <w:r w:rsidRPr="00270D7B">
        <w:t>, Alja</w:t>
      </w:r>
      <w:r w:rsidRPr="00610F82">
        <w:t>ž</w:t>
      </w:r>
      <w:r w:rsidRPr="00270D7B">
        <w:t xml:space="preserve"> </w:t>
      </w:r>
      <w:r>
        <w:t>Kol</w:t>
      </w:r>
      <w:r w:rsidRPr="00C66091">
        <w:t>š</w:t>
      </w:r>
      <w:r>
        <w:t>ek</w:t>
      </w:r>
      <w:r w:rsidRPr="004B6F6A">
        <w:rPr>
          <w:vertAlign w:val="superscript"/>
        </w:rPr>
        <w:t>c</w:t>
      </w:r>
      <w:r>
        <w:t xml:space="preserve">, </w:t>
      </w:r>
      <w:r w:rsidRPr="00270D7B">
        <w:t>Neil Taylor, Alfredo Portone</w:t>
      </w:r>
      <w:r w:rsidRPr="00270D7B">
        <w:rPr>
          <w:vertAlign w:val="superscript"/>
        </w:rPr>
        <w:t>c</w:t>
      </w:r>
    </w:p>
    <w:p w14:paraId="145ED400" w14:textId="77777777" w:rsidR="00DB3E36" w:rsidRDefault="00DB3E36" w:rsidP="00DB3E36">
      <w:pPr>
        <w:rPr>
          <w:sz w:val="24"/>
        </w:rPr>
      </w:pPr>
    </w:p>
    <w:p w14:paraId="388795E3" w14:textId="77777777" w:rsidR="00733F2F" w:rsidRPr="00733F2F" w:rsidRDefault="00733F2F" w:rsidP="00733F2F">
      <w:pPr>
        <w:pStyle w:val="NormalWeb"/>
        <w:jc w:val="center"/>
        <w:rPr>
          <w:i/>
          <w:vertAlign w:val="superscript"/>
          <w:lang w:val="es-ES"/>
        </w:rPr>
      </w:pPr>
      <w:r w:rsidRPr="00733F2F">
        <w:rPr>
          <w:i/>
          <w:vertAlign w:val="superscript"/>
          <w:lang w:val="es-ES"/>
        </w:rPr>
        <w:t>a</w:t>
      </w:r>
      <w:r w:rsidRPr="00733F2F">
        <w:rPr>
          <w:i/>
          <w:lang w:val="es-ES"/>
        </w:rPr>
        <w:t>Universitat Politecnica de Catalunya, Avinguda Diagonal 647, Barcelona, Spain</w:t>
      </w:r>
    </w:p>
    <w:p w14:paraId="448DFDE1" w14:textId="77777777" w:rsidR="00733F2F" w:rsidRPr="00733F2F" w:rsidRDefault="00733F2F" w:rsidP="00733F2F">
      <w:pPr>
        <w:pStyle w:val="NormalWeb"/>
        <w:jc w:val="center"/>
        <w:rPr>
          <w:i/>
          <w:vertAlign w:val="superscript"/>
          <w:lang w:val="es-ES"/>
        </w:rPr>
      </w:pPr>
      <w:r w:rsidRPr="00733F2F">
        <w:rPr>
          <w:i/>
          <w:vertAlign w:val="superscript"/>
          <w:lang w:val="es-ES"/>
        </w:rPr>
        <w:t>b</w:t>
      </w:r>
      <w:r w:rsidRPr="00733F2F">
        <w:rPr>
          <w:i/>
          <w:lang w:val="es-ES"/>
        </w:rPr>
        <w:t>ATG Science &amp; Engineering, SL Plaza de Ernest Lluch y Martín 5, Torre Diagonal One, 08019, Barcelona, Spain</w:t>
      </w:r>
    </w:p>
    <w:p w14:paraId="16518778" w14:textId="77777777" w:rsidR="00733F2F" w:rsidRPr="00733F2F" w:rsidRDefault="00733F2F" w:rsidP="00733F2F">
      <w:pPr>
        <w:pStyle w:val="NormalWeb"/>
        <w:jc w:val="center"/>
        <w:rPr>
          <w:i/>
          <w:lang w:val="es-ES"/>
        </w:rPr>
      </w:pPr>
      <w:r w:rsidRPr="00733F2F">
        <w:rPr>
          <w:i/>
          <w:vertAlign w:val="superscript"/>
          <w:lang w:val="es-ES"/>
        </w:rPr>
        <w:t>c</w:t>
      </w:r>
      <w:r w:rsidRPr="00733F2F">
        <w:rPr>
          <w:i/>
          <w:lang w:val="es-ES"/>
        </w:rPr>
        <w:t>Fusion For Energy, C/ de Josep Pla, 9, Sant Martí, 08019, Barcelona, Spain</w:t>
      </w:r>
    </w:p>
    <w:p w14:paraId="50C6BB31" w14:textId="77777777" w:rsidR="00733F2F" w:rsidRPr="00733F2F" w:rsidRDefault="00733F2F" w:rsidP="00733F2F">
      <w:pPr>
        <w:pStyle w:val="NormalWeb"/>
        <w:jc w:val="center"/>
        <w:rPr>
          <w:i/>
          <w:vertAlign w:val="superscript"/>
          <w:lang w:val="es-ES"/>
        </w:rPr>
      </w:pPr>
      <w:r w:rsidRPr="00733F2F">
        <w:rPr>
          <w:i/>
          <w:vertAlign w:val="superscript"/>
          <w:lang w:val="es-ES"/>
        </w:rPr>
        <w:t>d</w:t>
      </w:r>
      <w:r w:rsidRPr="00733F2F">
        <w:rPr>
          <w:i/>
          <w:lang w:val="es-ES"/>
        </w:rPr>
        <w:t>UNED - Universidad Nacional de Educacion a Distancia, Madrid, Spain</w:t>
      </w:r>
    </w:p>
    <w:p w14:paraId="0BC07B8A" w14:textId="3516FC42" w:rsidR="00DB3E36" w:rsidRDefault="00DB3E36" w:rsidP="00E8630A">
      <w:pPr>
        <w:spacing w:after="120"/>
        <w:jc w:val="center"/>
        <w:rPr>
          <w:iCs/>
          <w:sz w:val="24"/>
        </w:rPr>
      </w:pPr>
      <w:r>
        <w:rPr>
          <w:iCs/>
          <w:sz w:val="24"/>
        </w:rPr>
        <w:t xml:space="preserve">Corresponding Author Email: </w:t>
      </w:r>
      <w:hyperlink r:id="rId9" w:history="1">
        <w:r w:rsidR="00BA48E2" w:rsidRPr="00D9639B">
          <w:rPr>
            <w:rStyle w:val="Hyperlink"/>
            <w:iCs/>
            <w:sz w:val="24"/>
          </w:rPr>
          <w:t>alberto.bittesnich@ext.f4e.europa.eu</w:t>
        </w:r>
      </w:hyperlink>
      <w:r w:rsidR="007B29CD">
        <w:rPr>
          <w:iCs/>
          <w:sz w:val="24"/>
        </w:rPr>
        <w:t xml:space="preserve">   </w:t>
      </w:r>
    </w:p>
    <w:p w14:paraId="72501B66" w14:textId="77777777" w:rsidR="00DB3E36" w:rsidRDefault="00DB3E36" w:rsidP="00DB3E36">
      <w:pPr>
        <w:jc w:val="center"/>
        <w:rPr>
          <w:iCs/>
          <w:sz w:val="24"/>
          <w:u w:val="single"/>
        </w:rPr>
      </w:pPr>
    </w:p>
    <w:p w14:paraId="3A129630" w14:textId="77777777" w:rsidR="00E8630A" w:rsidRDefault="00E8630A" w:rsidP="00DB3E36">
      <w:pPr>
        <w:jc w:val="both"/>
        <w:rPr>
          <w:sz w:val="24"/>
        </w:rPr>
      </w:pPr>
    </w:p>
    <w:p w14:paraId="5A1524D0" w14:textId="3A653B9B" w:rsidR="00096AB2" w:rsidRDefault="00BA48E2" w:rsidP="00DB3E36">
      <w:pPr>
        <w:jc w:val="both"/>
        <w:rPr>
          <w:sz w:val="24"/>
        </w:rPr>
      </w:pPr>
      <w:r w:rsidRPr="00BA48E2">
        <w:rPr>
          <w:sz w:val="24"/>
        </w:rPr>
        <w:t xml:space="preserve">The decay of radioactive nuclides activated during the operation of nuclear fusion reactors represents one of the main safety concerns, leading to worker exposure during shutdown and maintenance phases as well as damage to critical electronics. For this, safety demonstrations of fusion reactors like ITER require a precise assessment of the Shut Down Dose Rate (SDDR). In recent years, the Direct-1-Step (D1S) methodology has been the most used due to its much greater computational speed compared to the Rigorous-2-Step (R2S) approach. However, when the assumptions underlying the D1S methodology no longer hold, e.g. when multi-step decay reactions occur in materials like tungsten, alternative approaches must be investigated. This </w:t>
      </w:r>
      <w:r w:rsidR="00274E0D">
        <w:rPr>
          <w:sz w:val="24"/>
        </w:rPr>
        <w:t>work</w:t>
      </w:r>
      <w:r w:rsidRPr="00BA48E2">
        <w:rPr>
          <w:sz w:val="24"/>
        </w:rPr>
        <w:t xml:space="preserve"> aims to explore and develop possible adaptations of the D1S methodology for the specific case of the ITER reactor, where tungsten (W) has been introduced as the First Wall (FW) material. The activation of tungsten triggers multi-step decays that make the standard D1S unusable for accurate In-Vessel SDDR calculations. The objective is to propose a modified methodology that maintains the advantages of D1S while ensuring the necessary accuracy for ITER's radiological safety, and to evaluate and understand the impact of FW material replacement on In-Vessel SDDR.</w:t>
      </w:r>
    </w:p>
    <w:p w14:paraId="35055617" w14:textId="77777777" w:rsidR="00096AB2" w:rsidRDefault="00096AB2" w:rsidP="00DB3E36">
      <w:pPr>
        <w:jc w:val="both"/>
        <w:rPr>
          <w:sz w:val="24"/>
        </w:rPr>
      </w:pPr>
    </w:p>
    <w:p w14:paraId="16EAF25B" w14:textId="77777777" w:rsidR="00096AB2" w:rsidRDefault="00096AB2" w:rsidP="00DB3E36">
      <w:pPr>
        <w:jc w:val="both"/>
        <w:rPr>
          <w:sz w:val="24"/>
        </w:rPr>
      </w:pPr>
    </w:p>
    <w:p w14:paraId="5FFFBDC4" w14:textId="77777777" w:rsidR="00096AB2" w:rsidRDefault="00096AB2" w:rsidP="00DB3E36">
      <w:pPr>
        <w:jc w:val="both"/>
        <w:rPr>
          <w:sz w:val="24"/>
        </w:rPr>
      </w:pPr>
    </w:p>
    <w:p w14:paraId="6F2F91AA" w14:textId="77777777" w:rsidR="00096AB2" w:rsidRDefault="00096AB2" w:rsidP="00DB3E36">
      <w:pPr>
        <w:jc w:val="both"/>
        <w:rPr>
          <w:sz w:val="24"/>
        </w:rPr>
      </w:pPr>
    </w:p>
    <w:p w14:paraId="477BFDA2" w14:textId="77777777" w:rsidR="00096AB2" w:rsidRDefault="00096AB2" w:rsidP="00DB3E36">
      <w:pPr>
        <w:jc w:val="both"/>
        <w:rPr>
          <w:sz w:val="24"/>
        </w:rPr>
      </w:pPr>
    </w:p>
    <w:p w14:paraId="6539577C" w14:textId="77777777" w:rsidR="00096AB2" w:rsidRDefault="00096AB2" w:rsidP="00DB3E36">
      <w:pPr>
        <w:jc w:val="both"/>
        <w:rPr>
          <w:sz w:val="24"/>
        </w:rPr>
      </w:pPr>
    </w:p>
    <w:p w14:paraId="1F1FA641" w14:textId="77777777" w:rsidR="00096AB2" w:rsidRDefault="00096AB2" w:rsidP="00DB3E36">
      <w:pPr>
        <w:jc w:val="both"/>
        <w:rPr>
          <w:sz w:val="24"/>
        </w:rPr>
      </w:pPr>
    </w:p>
    <w:p w14:paraId="6EDD6198" w14:textId="77777777" w:rsidR="00096AB2" w:rsidRDefault="00096AB2" w:rsidP="00DB3E36">
      <w:pPr>
        <w:jc w:val="both"/>
        <w:rPr>
          <w:sz w:val="24"/>
        </w:rPr>
      </w:pPr>
    </w:p>
    <w:p w14:paraId="1F1217A5" w14:textId="77777777" w:rsidR="00096AB2" w:rsidRDefault="00096AB2" w:rsidP="00DB3E36">
      <w:pPr>
        <w:jc w:val="both"/>
        <w:rPr>
          <w:sz w:val="24"/>
        </w:rPr>
      </w:pPr>
    </w:p>
    <w:p w14:paraId="6ED62542" w14:textId="77777777" w:rsidR="00096AB2" w:rsidRDefault="00096AB2" w:rsidP="00DB3E36">
      <w:pPr>
        <w:jc w:val="both"/>
        <w:rPr>
          <w:sz w:val="24"/>
        </w:rPr>
      </w:pPr>
    </w:p>
    <w:p w14:paraId="0E58296F" w14:textId="77777777" w:rsidR="00096AB2" w:rsidRDefault="00096AB2" w:rsidP="00DB3E36">
      <w:pPr>
        <w:jc w:val="both"/>
        <w:rPr>
          <w:sz w:val="24"/>
        </w:rPr>
      </w:pPr>
    </w:p>
    <w:p w14:paraId="0A719975" w14:textId="77777777" w:rsidR="00096AB2" w:rsidRDefault="00096AB2" w:rsidP="00DB3E36">
      <w:pPr>
        <w:jc w:val="both"/>
        <w:rPr>
          <w:sz w:val="24"/>
        </w:rPr>
      </w:pPr>
    </w:p>
    <w:tbl>
      <w:tblPr>
        <w:tblStyle w:val="TableGrid"/>
        <w:tblW w:w="0" w:type="auto"/>
        <w:jc w:val="center"/>
        <w:tblLook w:val="04A0" w:firstRow="1" w:lastRow="0" w:firstColumn="1" w:lastColumn="0" w:noHBand="0" w:noVBand="1"/>
      </w:tblPr>
      <w:tblGrid>
        <w:gridCol w:w="2547"/>
        <w:gridCol w:w="2835"/>
      </w:tblGrid>
      <w:tr w:rsidR="00096AB2" w14:paraId="6AA624F1" w14:textId="77777777" w:rsidTr="0025113E">
        <w:trPr>
          <w:jc w:val="center"/>
        </w:trPr>
        <w:tc>
          <w:tcPr>
            <w:tcW w:w="2547" w:type="dxa"/>
            <w:vMerge w:val="restart"/>
          </w:tcPr>
          <w:p w14:paraId="2B232C56" w14:textId="606DF2F0" w:rsidR="00096AB2" w:rsidRDefault="00096AB2" w:rsidP="0025113E">
            <w:pPr>
              <w:rPr>
                <w:iCs/>
                <w:sz w:val="24"/>
              </w:rPr>
            </w:pPr>
            <w:r>
              <w:rPr>
                <w:iCs/>
                <w:sz w:val="24"/>
              </w:rPr>
              <w:t>Type of contribution:</w:t>
            </w:r>
          </w:p>
        </w:tc>
        <w:tc>
          <w:tcPr>
            <w:tcW w:w="2835" w:type="dxa"/>
          </w:tcPr>
          <w:p w14:paraId="7F689842" w14:textId="77777777" w:rsidR="00096AB2" w:rsidRDefault="00096AB2" w:rsidP="0025113E">
            <w:pPr>
              <w:rPr>
                <w:iCs/>
                <w:sz w:val="24"/>
              </w:rPr>
            </w:pPr>
            <w:r>
              <w:rPr>
                <w:iCs/>
                <w:sz w:val="24"/>
              </w:rPr>
              <w:t xml:space="preserve">Poster session               </w:t>
            </w:r>
            <w:sdt>
              <w:sdtPr>
                <w:rPr>
                  <w:b/>
                  <w:bCs/>
                  <w:iCs/>
                  <w:sz w:val="24"/>
                </w:rPr>
                <w:id w:val="-506132384"/>
                <w14:checkbox>
                  <w14:checked w14:val="0"/>
                  <w14:checkedState w14:val="2612" w14:font="MS Gothic"/>
                  <w14:uncheckedState w14:val="2610" w14:font="MS Gothic"/>
                </w14:checkbox>
              </w:sdtPr>
              <w:sdtContent>
                <w:r>
                  <w:rPr>
                    <w:rFonts w:ascii="MS Gothic" w:eastAsia="MS Gothic" w:hAnsi="MS Gothic" w:hint="eastAsia"/>
                    <w:b/>
                    <w:bCs/>
                    <w:iCs/>
                    <w:sz w:val="24"/>
                  </w:rPr>
                  <w:t>☐</w:t>
                </w:r>
              </w:sdtContent>
            </w:sdt>
            <w:r>
              <w:rPr>
                <w:iCs/>
                <w:sz w:val="24"/>
              </w:rPr>
              <w:t xml:space="preserve"> </w:t>
            </w:r>
          </w:p>
        </w:tc>
      </w:tr>
      <w:tr w:rsidR="00096AB2" w14:paraId="153A603A" w14:textId="77777777" w:rsidTr="0025113E">
        <w:trPr>
          <w:jc w:val="center"/>
        </w:trPr>
        <w:tc>
          <w:tcPr>
            <w:tcW w:w="2547" w:type="dxa"/>
            <w:vMerge/>
          </w:tcPr>
          <w:p w14:paraId="02E43341" w14:textId="77777777" w:rsidR="00096AB2" w:rsidRDefault="00096AB2" w:rsidP="0025113E">
            <w:pPr>
              <w:rPr>
                <w:iCs/>
                <w:sz w:val="24"/>
              </w:rPr>
            </w:pPr>
          </w:p>
        </w:tc>
        <w:tc>
          <w:tcPr>
            <w:tcW w:w="2835" w:type="dxa"/>
          </w:tcPr>
          <w:p w14:paraId="078F0834" w14:textId="5C7A3379" w:rsidR="00096AB2" w:rsidRDefault="00096AB2" w:rsidP="0025113E">
            <w:pPr>
              <w:rPr>
                <w:iCs/>
                <w:sz w:val="24"/>
              </w:rPr>
            </w:pPr>
            <w:r>
              <w:rPr>
                <w:iCs/>
                <w:sz w:val="24"/>
              </w:rPr>
              <w:t xml:space="preserve">Oral Contribution         </w:t>
            </w:r>
            <w:sdt>
              <w:sdtPr>
                <w:rPr>
                  <w:b/>
                  <w:bCs/>
                  <w:iCs/>
                  <w:sz w:val="24"/>
                </w:rPr>
                <w:id w:val="-519542827"/>
                <w14:checkbox>
                  <w14:checked w14:val="1"/>
                  <w14:checkedState w14:val="2612" w14:font="MS Gothic"/>
                  <w14:uncheckedState w14:val="2610" w14:font="MS Gothic"/>
                </w14:checkbox>
              </w:sdtPr>
              <w:sdtContent>
                <w:r w:rsidR="00BA48E2">
                  <w:rPr>
                    <w:rFonts w:ascii="MS Gothic" w:eastAsia="MS Gothic" w:hAnsi="MS Gothic" w:hint="eastAsia"/>
                    <w:b/>
                    <w:bCs/>
                    <w:iCs/>
                    <w:sz w:val="24"/>
                  </w:rPr>
                  <w:t>☒</w:t>
                </w:r>
              </w:sdtContent>
            </w:sdt>
          </w:p>
        </w:tc>
      </w:tr>
    </w:tbl>
    <w:p w14:paraId="284CF36C" w14:textId="77777777" w:rsidR="00096AB2" w:rsidRDefault="00096AB2" w:rsidP="00DB3E36">
      <w:pPr>
        <w:jc w:val="both"/>
        <w:rPr>
          <w:sz w:val="24"/>
        </w:rPr>
      </w:pPr>
    </w:p>
    <w:sectPr w:rsidR="00096AB2" w:rsidSect="00D956B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3885" w14:textId="77777777" w:rsidR="00D543F7" w:rsidRDefault="00D543F7">
      <w:r>
        <w:separator/>
      </w:r>
    </w:p>
  </w:endnote>
  <w:endnote w:type="continuationSeparator" w:id="0">
    <w:p w14:paraId="7B7BC0F5" w14:textId="77777777" w:rsidR="00D543F7" w:rsidRDefault="00D5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C857" w14:textId="77777777" w:rsidR="002C752D" w:rsidRDefault="002C7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25E3" w14:textId="77777777" w:rsidR="002C752D" w:rsidRDefault="002C7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B91D" w14:textId="77777777" w:rsidR="002C752D" w:rsidRDefault="002C7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F4C0" w14:textId="77777777" w:rsidR="00D543F7" w:rsidRDefault="00D543F7">
      <w:r>
        <w:separator/>
      </w:r>
    </w:p>
  </w:footnote>
  <w:footnote w:type="continuationSeparator" w:id="0">
    <w:p w14:paraId="78559074" w14:textId="77777777" w:rsidR="00D543F7" w:rsidRDefault="00D54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FC36" w14:textId="77777777" w:rsidR="002C752D" w:rsidRDefault="002C7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0DD7" w14:textId="77777777" w:rsidR="002C752D" w:rsidRDefault="002C7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0752" w14:textId="77777777" w:rsidR="002C752D" w:rsidRDefault="002C7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E3NTe0MDMwN7NU0lEKTi0uzszPAykwrAUAH6u8UywAAAA="/>
  </w:docVars>
  <w:rsids>
    <w:rsidRoot w:val="00DB3E36"/>
    <w:rsid w:val="000942B0"/>
    <w:rsid w:val="00096AB2"/>
    <w:rsid w:val="000C1E8B"/>
    <w:rsid w:val="001C2E1D"/>
    <w:rsid w:val="00274E0D"/>
    <w:rsid w:val="002C752D"/>
    <w:rsid w:val="002D07B6"/>
    <w:rsid w:val="004A73A3"/>
    <w:rsid w:val="004B1EB3"/>
    <w:rsid w:val="00553659"/>
    <w:rsid w:val="00562297"/>
    <w:rsid w:val="005D14AD"/>
    <w:rsid w:val="00636B4E"/>
    <w:rsid w:val="00724EE4"/>
    <w:rsid w:val="00733F2F"/>
    <w:rsid w:val="007378FE"/>
    <w:rsid w:val="007921F1"/>
    <w:rsid w:val="007A67E8"/>
    <w:rsid w:val="007B29CD"/>
    <w:rsid w:val="00805BCC"/>
    <w:rsid w:val="00807A54"/>
    <w:rsid w:val="0085430E"/>
    <w:rsid w:val="00866E67"/>
    <w:rsid w:val="009737D6"/>
    <w:rsid w:val="00A31997"/>
    <w:rsid w:val="00A84D73"/>
    <w:rsid w:val="00B74092"/>
    <w:rsid w:val="00B83222"/>
    <w:rsid w:val="00BA48E2"/>
    <w:rsid w:val="00D52D69"/>
    <w:rsid w:val="00D543F7"/>
    <w:rsid w:val="00DB3E36"/>
    <w:rsid w:val="00E007B3"/>
    <w:rsid w:val="00E716CB"/>
    <w:rsid w:val="00E80D81"/>
    <w:rsid w:val="00E8630A"/>
    <w:rsid w:val="00F61760"/>
    <w:rsid w:val="00FC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A83"/>
  <w15:chartTrackingRefBased/>
  <w15:docId w15:val="{279FD900-7582-47D9-A1AB-384B2AE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E36"/>
    <w:rPr>
      <w:rFonts w:ascii="Times New Roman" w:eastAsia="Times New Roman" w:hAnsi="Times New Roman"/>
      <w:lang w:eastAsia="ja-JP"/>
    </w:rPr>
  </w:style>
  <w:style w:type="paragraph" w:styleId="Heading1">
    <w:name w:val="heading 1"/>
    <w:basedOn w:val="Normal"/>
    <w:next w:val="Normal"/>
    <w:link w:val="Heading1Char"/>
    <w:uiPriority w:val="9"/>
    <w:qFormat/>
    <w:rsid w:val="002D07B6"/>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3E36"/>
    <w:pPr>
      <w:ind w:firstLine="360"/>
    </w:pPr>
  </w:style>
  <w:style w:type="character" w:styleId="Hyperlink">
    <w:name w:val="Hyperlink"/>
    <w:uiPriority w:val="99"/>
    <w:unhideWhenUsed/>
    <w:rsid w:val="00DB3E36"/>
    <w:rPr>
      <w:color w:val="0000FF"/>
      <w:u w:val="single"/>
    </w:rPr>
  </w:style>
  <w:style w:type="paragraph" w:styleId="Header">
    <w:name w:val="header"/>
    <w:basedOn w:val="Normal"/>
    <w:link w:val="HeaderChar"/>
    <w:uiPriority w:val="99"/>
    <w:unhideWhenUsed/>
    <w:rsid w:val="00DB3E36"/>
    <w:pPr>
      <w:tabs>
        <w:tab w:val="center" w:pos="4680"/>
        <w:tab w:val="right" w:pos="9360"/>
      </w:tabs>
    </w:pPr>
  </w:style>
  <w:style w:type="character" w:customStyle="1" w:styleId="HeaderChar">
    <w:name w:val="Header Char"/>
    <w:link w:val="Header"/>
    <w:uiPriority w:val="99"/>
    <w:rsid w:val="00DB3E36"/>
    <w:rPr>
      <w:rFonts w:ascii="Times New Roman" w:eastAsia="Times New Roman" w:hAnsi="Times New Roman" w:cs="Times New Roman"/>
      <w:sz w:val="20"/>
      <w:szCs w:val="20"/>
      <w:lang w:eastAsia="ja-JP"/>
    </w:rPr>
  </w:style>
  <w:style w:type="paragraph" w:styleId="Footer">
    <w:name w:val="footer"/>
    <w:basedOn w:val="Normal"/>
    <w:link w:val="FooterChar"/>
    <w:uiPriority w:val="99"/>
    <w:unhideWhenUsed/>
    <w:rsid w:val="00DB3E36"/>
    <w:pPr>
      <w:tabs>
        <w:tab w:val="center" w:pos="4680"/>
        <w:tab w:val="right" w:pos="9360"/>
      </w:tabs>
    </w:pPr>
  </w:style>
  <w:style w:type="character" w:customStyle="1" w:styleId="FooterChar">
    <w:name w:val="Footer Char"/>
    <w:link w:val="Footer"/>
    <w:uiPriority w:val="99"/>
    <w:rsid w:val="00DB3E36"/>
    <w:rPr>
      <w:rFonts w:ascii="Times New Roman" w:eastAsia="Times New Roman" w:hAnsi="Times New Roman" w:cs="Times New Roman"/>
      <w:sz w:val="20"/>
      <w:szCs w:val="20"/>
      <w:lang w:eastAsia="ja-JP"/>
    </w:rPr>
  </w:style>
  <w:style w:type="paragraph" w:styleId="Title">
    <w:name w:val="Title"/>
    <w:basedOn w:val="Normal"/>
    <w:next w:val="Normal"/>
    <w:link w:val="TitleChar"/>
    <w:uiPriority w:val="10"/>
    <w:qFormat/>
    <w:rsid w:val="00DB3E36"/>
    <w:pPr>
      <w:contextualSpacing/>
    </w:pPr>
    <w:rPr>
      <w:rFonts w:ascii="Calibri Light" w:hAnsi="Calibri Light"/>
      <w:spacing w:val="-10"/>
      <w:kern w:val="28"/>
      <w:sz w:val="56"/>
      <w:szCs w:val="56"/>
    </w:rPr>
  </w:style>
  <w:style w:type="character" w:customStyle="1" w:styleId="TitleChar">
    <w:name w:val="Title Char"/>
    <w:link w:val="Title"/>
    <w:uiPriority w:val="10"/>
    <w:rsid w:val="00DB3E36"/>
    <w:rPr>
      <w:rFonts w:ascii="Calibri Light" w:eastAsia="Times New Roman" w:hAnsi="Calibri Light" w:cs="Times New Roman"/>
      <w:spacing w:val="-10"/>
      <w:kern w:val="28"/>
      <w:sz w:val="56"/>
      <w:szCs w:val="56"/>
      <w:lang w:eastAsia="ja-JP"/>
    </w:rPr>
  </w:style>
  <w:style w:type="character" w:customStyle="1" w:styleId="Heading1Char">
    <w:name w:val="Heading 1 Char"/>
    <w:link w:val="Heading1"/>
    <w:uiPriority w:val="9"/>
    <w:rsid w:val="002D07B6"/>
    <w:rPr>
      <w:rFonts w:ascii="Calibri Light" w:eastAsia="Times New Roman" w:hAnsi="Calibri Light" w:cs="Times New Roman"/>
      <w:color w:val="2E74B5"/>
      <w:sz w:val="32"/>
      <w:szCs w:val="32"/>
      <w:lang w:eastAsia="ja-JP"/>
    </w:rPr>
  </w:style>
  <w:style w:type="character" w:styleId="UnresolvedMention">
    <w:name w:val="Unresolved Mention"/>
    <w:basedOn w:val="DefaultParagraphFont"/>
    <w:uiPriority w:val="99"/>
    <w:semiHidden/>
    <w:unhideWhenUsed/>
    <w:rsid w:val="007B29CD"/>
    <w:rPr>
      <w:color w:val="605E5C"/>
      <w:shd w:val="clear" w:color="auto" w:fill="E1DFDD"/>
    </w:rPr>
  </w:style>
  <w:style w:type="table" w:styleId="TableGrid">
    <w:name w:val="Table Grid"/>
    <w:basedOn w:val="TableNormal"/>
    <w:uiPriority w:val="39"/>
    <w:rsid w:val="00973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33F2F"/>
    <w:pPr>
      <w:spacing w:after="120"/>
      <w:jc w:val="both"/>
    </w:pPr>
    <w:rPr>
      <w:rFonts w:eastAsia="Malgun Gothic"/>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lberto.bittesnich@ext.f4e.europa.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2f2610-36d7-4e00-a50a-5418b612b21e" xsi:nil="true"/>
    <lcf76f155ced4ddcb4097134ff3c332f xmlns="dac7d76e-4156-4210-9604-d2ff15f314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0721546272CD468B18464B66B4DFB7" ma:contentTypeVersion="13" ma:contentTypeDescription="Create a new document." ma:contentTypeScope="" ma:versionID="6ec0361c81a0d826427ce655ba51706c">
  <xsd:schema xmlns:xsd="http://www.w3.org/2001/XMLSchema" xmlns:xs="http://www.w3.org/2001/XMLSchema" xmlns:p="http://schemas.microsoft.com/office/2006/metadata/properties" xmlns:ns2="dac7d76e-4156-4210-9604-d2ff15f3146b" xmlns:ns3="232f2610-36d7-4e00-a50a-5418b612b21e" targetNamespace="http://schemas.microsoft.com/office/2006/metadata/properties" ma:root="true" ma:fieldsID="fab9b9f7b972699cccb08ebb2d27ca7e" ns2:_="" ns3:_="">
    <xsd:import namespace="dac7d76e-4156-4210-9604-d2ff15f3146b"/>
    <xsd:import namespace="232f2610-36d7-4e00-a50a-5418b612b2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d76e-4156-4210-9604-d2ff15f3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641f5-0da7-4f48-9a81-ef320f6056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f2610-36d7-4e00-a50a-5418b612b2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a3bb72-24b6-4347-9801-efcbcc4b578f}" ma:internalName="TaxCatchAll" ma:showField="CatchAllData" ma:web="232f2610-36d7-4e00-a50a-5418b612b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34282-5ADC-4F0F-98CF-0A8AD42DFF5C}">
  <ds:schemaRefs>
    <ds:schemaRef ds:uri="http://schemas.microsoft.com/office/2006/metadata/properties"/>
    <ds:schemaRef ds:uri="http://schemas.microsoft.com/office/infopath/2007/PartnerControls"/>
    <ds:schemaRef ds:uri="232f2610-36d7-4e00-a50a-5418b612b21e"/>
    <ds:schemaRef ds:uri="dac7d76e-4156-4210-9604-d2ff15f3146b"/>
  </ds:schemaRefs>
</ds:datastoreItem>
</file>

<file path=customXml/itemProps2.xml><?xml version="1.0" encoding="utf-8"?>
<ds:datastoreItem xmlns:ds="http://schemas.openxmlformats.org/officeDocument/2006/customXml" ds:itemID="{D4123DBF-88A7-4789-BEE1-3C007C095B03}">
  <ds:schemaRefs>
    <ds:schemaRef ds:uri="http://schemas.microsoft.com/sharepoint/v3/contenttype/forms"/>
  </ds:schemaRefs>
</ds:datastoreItem>
</file>

<file path=customXml/itemProps3.xml><?xml version="1.0" encoding="utf-8"?>
<ds:datastoreItem xmlns:ds="http://schemas.openxmlformats.org/officeDocument/2006/customXml" ds:itemID="{E1E91240-562E-4021-856C-81BB49CB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d76e-4156-4210-9604-d2ff15f3146b"/>
    <ds:schemaRef ds:uri="232f2610-36d7-4e00-a50a-5418b612b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312</Words>
  <Characters>1791</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MCNP® 2021 User Symposium Abstract Template</vt:lpstr>
    </vt:vector>
  </TitlesOfParts>
  <Company>LANL DCS-CSD</Company>
  <LinksUpToDate>false</LinksUpToDate>
  <CharactersWithSpaces>2087</CharactersWithSpaces>
  <SharedDoc>false</SharedDoc>
  <HyperlinkBase>MCNP® 2021 User Symposium Abstract 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MCNP® 2021 User Symposium Abstract Template</dc:title>
  <dc:subject>Abstract template</dc:subject>
  <dc:creator>Haag, Sarah Marie</dc:creator>
  <cp:keywords/>
  <dc:description/>
  <cp:lastModifiedBy>Bittesnich Alberto (F4E-Ext)</cp:lastModifiedBy>
  <cp:revision>18</cp:revision>
  <dcterms:created xsi:type="dcterms:W3CDTF">2021-04-12T23:49:00Z</dcterms:created>
  <dcterms:modified xsi:type="dcterms:W3CDTF">2026-04-01T07:42:00Z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0x010100730721546272CD468B18464B66B4DFB7</vt:lpwstr>
  </property>
</Properties>
</file>