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6AB2" w:rsidR="00DB3E36" w:rsidP="00DB3E36" w:rsidRDefault="00240F89" w14:paraId="474AA7B5" w14:textId="6C330655">
      <w:pPr>
        <w:jc w:val="center"/>
        <w:rPr>
          <w:b/>
          <w:sz w:val="28"/>
          <w:szCs w:val="24"/>
        </w:rPr>
      </w:pPr>
      <w:r w:rsidRPr="00240F89">
        <w:rPr>
          <w:b/>
          <w:sz w:val="28"/>
          <w:szCs w:val="24"/>
        </w:rPr>
        <w:t>From Tokamak to Research Reactor: Replicating JET Water Activation Experiment at KATANA Facility</w:t>
      </w:r>
    </w:p>
    <w:p w:rsidRPr="00663F85" w:rsidR="00DB3E36" w:rsidP="00DB3E36" w:rsidRDefault="00DB3E36" w14:paraId="1610A4BF" w14:textId="77777777">
      <w:pPr>
        <w:rPr>
          <w:b/>
          <w:sz w:val="24"/>
        </w:rPr>
      </w:pPr>
    </w:p>
    <w:p w:rsidRPr="00240F89" w:rsidR="00DB3E36" w:rsidP="00DB3E36" w:rsidRDefault="00240F89" w14:paraId="178CECA2" w14:textId="6CEFD0F9">
      <w:pPr>
        <w:jc w:val="center"/>
        <w:rPr>
          <w:sz w:val="24"/>
        </w:rPr>
      </w:pPr>
      <w:r>
        <w:rPr>
          <w:sz w:val="24"/>
        </w:rPr>
        <w:t>Julijan Peric</w:t>
      </w:r>
      <w:r w:rsidRPr="00663F85" w:rsidR="00DB3E36">
        <w:rPr>
          <w:sz w:val="24"/>
          <w:vertAlign w:val="superscript"/>
        </w:rPr>
        <w:t>1</w:t>
      </w:r>
      <w:r>
        <w:rPr>
          <w:sz w:val="24"/>
          <w:vertAlign w:val="superscript"/>
        </w:rPr>
        <w:t>,2</w:t>
      </w:r>
      <w:r w:rsidR="00DB3E36">
        <w:rPr>
          <w:sz w:val="24"/>
        </w:rPr>
        <w:t xml:space="preserve">, </w:t>
      </w:r>
      <w:r>
        <w:rPr>
          <w:sz w:val="24"/>
        </w:rPr>
        <w:t>Domen Kotnik</w:t>
      </w:r>
      <w:r w:rsidRPr="00240F89">
        <w:rPr>
          <w:sz w:val="24"/>
          <w:vertAlign w:val="superscript"/>
        </w:rPr>
        <w:t>1</w:t>
      </w:r>
      <w:r w:rsidR="00DB3E36">
        <w:rPr>
          <w:sz w:val="24"/>
        </w:rPr>
        <w:t xml:space="preserve">, </w:t>
      </w:r>
      <w:r>
        <w:rPr>
          <w:sz w:val="24"/>
        </w:rPr>
        <w:t>Domen Govekar</w:t>
      </w:r>
      <w:r w:rsidRPr="00240F89">
        <w:rPr>
          <w:sz w:val="24"/>
          <w:vertAlign w:val="superscript"/>
        </w:rPr>
        <w:t>1,2</w:t>
      </w:r>
      <w:r>
        <w:rPr>
          <w:sz w:val="24"/>
        </w:rPr>
        <w:t>,</w:t>
      </w:r>
      <w:r w:rsidR="00E74B39">
        <w:rPr>
          <w:sz w:val="24"/>
        </w:rPr>
        <w:t xml:space="preserve"> Domen Šnuderl</w:t>
      </w:r>
      <w:r w:rsidRPr="00E74B39" w:rsidR="00E74B39">
        <w:rPr>
          <w:sz w:val="24"/>
          <w:vertAlign w:val="superscript"/>
        </w:rPr>
        <w:t>1</w:t>
      </w:r>
      <w:r w:rsidR="00E74B39">
        <w:rPr>
          <w:sz w:val="24"/>
        </w:rPr>
        <w:t>,</w:t>
      </w:r>
      <w:r>
        <w:rPr>
          <w:sz w:val="24"/>
        </w:rPr>
        <w:t xml:space="preserve"> Luka Snoj</w:t>
      </w:r>
      <w:r w:rsidRPr="00085FC9" w:rsidR="00DB3E36">
        <w:rPr>
          <w:sz w:val="24"/>
          <w:vertAlign w:val="superscript"/>
        </w:rPr>
        <w:t>1</w:t>
      </w:r>
      <w:r>
        <w:rPr>
          <w:sz w:val="24"/>
          <w:vertAlign w:val="superscript"/>
        </w:rPr>
        <w:t>,2</w:t>
      </w:r>
      <w:r>
        <w:rPr>
          <w:sz w:val="24"/>
        </w:rPr>
        <w:t>, Vladimir Radulović</w:t>
      </w:r>
      <w:r w:rsidRPr="00240F89">
        <w:rPr>
          <w:sz w:val="24"/>
          <w:vertAlign w:val="superscript"/>
        </w:rPr>
        <w:t>1,2</w:t>
      </w:r>
    </w:p>
    <w:p w:rsidR="00DB3E36" w:rsidP="00DB3E36" w:rsidRDefault="00DB3E36" w14:paraId="145ED400" w14:textId="77777777">
      <w:pPr>
        <w:rPr>
          <w:sz w:val="24"/>
        </w:rPr>
      </w:pPr>
    </w:p>
    <w:p w:rsidR="00DB3E36" w:rsidP="00E74B39" w:rsidRDefault="00DB3E36" w14:paraId="14F7D2FA" w14:textId="76884125">
      <w:pPr>
        <w:jc w:val="center"/>
        <w:rPr>
          <w:i/>
          <w:sz w:val="24"/>
        </w:rPr>
      </w:pPr>
      <w:r>
        <w:rPr>
          <w:i/>
          <w:sz w:val="24"/>
          <w:vertAlign w:val="superscript"/>
        </w:rPr>
        <w:t>1</w:t>
      </w:r>
      <w:r w:rsidRPr="00E74B39" w:rsidR="00E74B39">
        <w:t xml:space="preserve"> </w:t>
      </w:r>
      <w:r w:rsidRPr="00E74B39" w:rsidR="00E74B39">
        <w:rPr>
          <w:i/>
          <w:sz w:val="24"/>
        </w:rPr>
        <w:t>Reactor Physics Department, Jožef Stefan Institute</w:t>
      </w:r>
      <w:r w:rsidR="00E74B39">
        <w:rPr>
          <w:i/>
          <w:sz w:val="24"/>
        </w:rPr>
        <w:t>,</w:t>
      </w:r>
      <w:r w:rsidRPr="00E74B39" w:rsidR="00E74B39">
        <w:rPr>
          <w:i/>
          <w:sz w:val="24"/>
        </w:rPr>
        <w:t xml:space="preserve"> </w:t>
      </w:r>
      <w:proofErr w:type="spellStart"/>
      <w:r w:rsidRPr="00E74B39" w:rsidR="00E74B39">
        <w:rPr>
          <w:i/>
          <w:sz w:val="24"/>
        </w:rPr>
        <w:t>Jamova</w:t>
      </w:r>
      <w:proofErr w:type="spellEnd"/>
      <w:r w:rsidRPr="00E74B39" w:rsidR="00E74B39">
        <w:rPr>
          <w:i/>
          <w:sz w:val="24"/>
        </w:rPr>
        <w:t xml:space="preserve"> cesta 39</w:t>
      </w:r>
      <w:r w:rsidR="00E74B39">
        <w:rPr>
          <w:i/>
          <w:sz w:val="24"/>
        </w:rPr>
        <w:t>,</w:t>
      </w:r>
      <w:r w:rsidRPr="00E74B39" w:rsidR="00E74B39">
        <w:rPr>
          <w:i/>
          <w:sz w:val="24"/>
        </w:rPr>
        <w:t xml:space="preserve"> 1000 Ljubljana, Slovenia</w:t>
      </w:r>
    </w:p>
    <w:p w:rsidR="00DB3E36" w:rsidP="00E74B39" w:rsidRDefault="00DB3E36" w14:paraId="02658589" w14:textId="1D1213D2">
      <w:pPr>
        <w:jc w:val="center"/>
        <w:rPr>
          <w:i/>
          <w:sz w:val="24"/>
        </w:rPr>
      </w:pPr>
      <w:r>
        <w:rPr>
          <w:i/>
          <w:sz w:val="24"/>
          <w:vertAlign w:val="superscript"/>
        </w:rPr>
        <w:t>2</w:t>
      </w:r>
      <w:r w:rsidRPr="00E74B39" w:rsidR="00E74B39">
        <w:t xml:space="preserve"> </w:t>
      </w:r>
      <w:r w:rsidRPr="00E74B39" w:rsidR="00E74B39">
        <w:rPr>
          <w:i/>
          <w:sz w:val="24"/>
        </w:rPr>
        <w:t>Faculty of mathematics and physics, University of Ljubljana</w:t>
      </w:r>
      <w:r w:rsidR="00E74B39">
        <w:rPr>
          <w:i/>
          <w:sz w:val="24"/>
        </w:rPr>
        <w:t>,</w:t>
      </w:r>
      <w:r w:rsidRPr="00E74B39" w:rsidR="00E74B39">
        <w:rPr>
          <w:i/>
          <w:sz w:val="24"/>
        </w:rPr>
        <w:t xml:space="preserve"> </w:t>
      </w:r>
      <w:proofErr w:type="spellStart"/>
      <w:r w:rsidRPr="00E74B39" w:rsidR="00E74B39">
        <w:rPr>
          <w:i/>
          <w:sz w:val="24"/>
        </w:rPr>
        <w:t>Jadranska</w:t>
      </w:r>
      <w:proofErr w:type="spellEnd"/>
      <w:r w:rsidRPr="00E74B39" w:rsidR="00E74B39">
        <w:rPr>
          <w:i/>
          <w:sz w:val="24"/>
        </w:rPr>
        <w:t xml:space="preserve"> cesta 19</w:t>
      </w:r>
      <w:r w:rsidR="00E74B39">
        <w:rPr>
          <w:i/>
          <w:sz w:val="24"/>
        </w:rPr>
        <w:t>,</w:t>
      </w:r>
      <w:r w:rsidRPr="00E74B39" w:rsidR="00E74B39">
        <w:rPr>
          <w:i/>
          <w:sz w:val="24"/>
        </w:rPr>
        <w:t xml:space="preserve"> 1000 Ljubljana, Slovenia</w:t>
      </w:r>
    </w:p>
    <w:p w:rsidR="00DB3E36" w:rsidP="00E8630A" w:rsidRDefault="00DB3E36" w14:paraId="0BC07B8A" w14:textId="7F06F5EF">
      <w:pPr>
        <w:spacing w:after="120"/>
        <w:jc w:val="center"/>
        <w:rPr>
          <w:iCs/>
          <w:sz w:val="24"/>
        </w:rPr>
      </w:pPr>
      <w:r>
        <w:rPr>
          <w:iCs/>
          <w:sz w:val="24"/>
        </w:rPr>
        <w:t>Corresponding Author Email:</w:t>
      </w:r>
      <w:r w:rsidR="00240F89">
        <w:rPr>
          <w:iCs/>
          <w:sz w:val="24"/>
        </w:rPr>
        <w:t xml:space="preserve"> </w:t>
      </w:r>
      <w:hyperlink w:history="1" r:id="rId9">
        <w:r w:rsidRPr="00E74B39" w:rsidR="00240F89">
          <w:rPr>
            <w:rStyle w:val="Hyperlink"/>
            <w:iCs/>
            <w:sz w:val="24"/>
          </w:rPr>
          <w:t>julijan.peric@ijs.si</w:t>
        </w:r>
      </w:hyperlink>
    </w:p>
    <w:p w:rsidR="00E8630A" w:rsidP="00DB3E36" w:rsidRDefault="00E8630A" w14:paraId="3A129630" w14:textId="77777777">
      <w:pPr>
        <w:jc w:val="both"/>
        <w:rPr>
          <w:sz w:val="24"/>
        </w:rPr>
      </w:pPr>
    </w:p>
    <w:p w:rsidR="00C10C3D" w:rsidP="00C10C3D" w:rsidRDefault="00C10C3D" w14:paraId="30463EBD" w14:textId="77777777">
      <w:pPr>
        <w:jc w:val="both"/>
        <w:rPr>
          <w:sz w:val="24"/>
        </w:rPr>
      </w:pPr>
      <w:r w:rsidRPr="00C10C3D">
        <w:rPr>
          <w:sz w:val="24"/>
        </w:rPr>
        <w:t>Water activation plays a key role in fusion facilities, contributing to radiation fields, shutdown dose rates, and overall operational safety. High-energy neutrons produced during fusion reactions interact with oxygen and other elements in the coolant, generating short-lived activation products such as N-16 and N-17. These isotopes emit high-energy gamma radiation and neutrons, affecting radiation levels during operation and shortly after shutdown, and thus influencing shielding design, maintenance planning, and safety assessments.</w:t>
      </w:r>
    </w:p>
    <w:p w:rsidR="0043159C" w:rsidP="00C10C3D" w:rsidRDefault="0043159C" w14:paraId="1178DD47" w14:textId="77777777">
      <w:pPr>
        <w:jc w:val="both"/>
        <w:rPr>
          <w:sz w:val="24"/>
        </w:rPr>
      </w:pPr>
    </w:p>
    <w:p w:rsidR="00C10C3D" w:rsidP="422475F5" w:rsidRDefault="00C10C3D" w14:paraId="3DA52034" w14:textId="03B8EC83">
      <w:pPr>
        <w:jc w:val="both"/>
        <w:rPr>
          <w:sz w:val="24"/>
          <w:szCs w:val="24"/>
        </w:rPr>
      </w:pPr>
      <w:r w:rsidRPr="422475F5" w:rsidR="00C10C3D">
        <w:rPr>
          <w:sz w:val="24"/>
          <w:szCs w:val="24"/>
        </w:rPr>
        <w:t xml:space="preserve">The JET DTE3 campaign has provided valuable experimental data on neutron-induced activation in cooling water under fusion conditions. Water activation in the JET cooling circuit was measured during more than 1,500 JET pulses. Reproducing </w:t>
      </w:r>
      <w:r w:rsidRPr="422475F5" w:rsidR="00C10C3D">
        <w:rPr>
          <w:sz w:val="24"/>
          <w:szCs w:val="24"/>
        </w:rPr>
        <w:t>such</w:t>
      </w:r>
      <w:r w:rsidRPr="422475F5" w:rsidR="6C451547">
        <w:rPr>
          <w:sz w:val="24"/>
          <w:szCs w:val="24"/>
        </w:rPr>
        <w:t xml:space="preserve"> </w:t>
      </w:r>
      <w:r w:rsidRPr="422475F5" w:rsidR="6C451547">
        <w:rPr>
          <w:sz w:val="24"/>
          <w:szCs w:val="24"/>
        </w:rPr>
        <w:t>complex</w:t>
      </w:r>
      <w:r w:rsidRPr="422475F5" w:rsidR="00C10C3D">
        <w:rPr>
          <w:sz w:val="24"/>
          <w:szCs w:val="24"/>
        </w:rPr>
        <w:t xml:space="preserve"> experiments</w:t>
      </w:r>
      <w:r w:rsidRPr="422475F5" w:rsidR="00C10C3D">
        <w:rPr>
          <w:sz w:val="24"/>
          <w:szCs w:val="24"/>
        </w:rPr>
        <w:t xml:space="preserve"> in smaller, controlled environments is essential for validating activation calculations and supporting detector development. </w:t>
      </w:r>
      <w:r w:rsidRPr="422475F5" w:rsidR="00FB0778">
        <w:rPr>
          <w:sz w:val="24"/>
          <w:szCs w:val="24"/>
        </w:rPr>
        <w:t>In this work, three JET water activation scenarios were replicated at the KATANA water activation facility using pulses from the JSI TRIGA Mark II reactor.</w:t>
      </w:r>
    </w:p>
    <w:p w:rsidR="0043159C" w:rsidP="000F219C" w:rsidRDefault="0043159C" w14:paraId="412DF5DB" w14:textId="77777777">
      <w:pPr>
        <w:jc w:val="both"/>
        <w:rPr>
          <w:sz w:val="24"/>
        </w:rPr>
      </w:pPr>
    </w:p>
    <w:p w:rsidR="000F219C" w:rsidP="000F219C" w:rsidRDefault="000F219C" w14:paraId="642C1992" w14:textId="321D3745">
      <w:pPr>
        <w:jc w:val="both"/>
        <w:rPr>
          <w:sz w:val="24"/>
        </w:rPr>
      </w:pPr>
      <w:r w:rsidRPr="000F219C">
        <w:rPr>
          <w:sz w:val="24"/>
        </w:rPr>
        <w:t>The approach focuses on replicating the time-dependent neutron irradiation conditions observed in JET by using short, high-power TRIGA pulses. The KATANA facility enables controlled irradiation of water and its transport to the measurement volume. By adjusting irradiation parameters, the study aims to reproduce the water activation observed in the JET tokamak’s cooling circuit.</w:t>
      </w:r>
      <w:r w:rsidRPr="0043159C" w:rsidR="0043159C">
        <w:t xml:space="preserve"> </w:t>
      </w:r>
      <w:r w:rsidRPr="0043159C" w:rsidR="0043159C">
        <w:rPr>
          <w:sz w:val="24"/>
        </w:rPr>
        <w:t>Computational support with the KATANA activation tool was used to model the irradiation scenarios and predict activation responses for comparison with experimental results.</w:t>
      </w:r>
    </w:p>
    <w:p w:rsidRPr="000F219C" w:rsidR="0043159C" w:rsidP="000F219C" w:rsidRDefault="0043159C" w14:paraId="29CC028E" w14:textId="77777777">
      <w:pPr>
        <w:jc w:val="both"/>
        <w:rPr>
          <w:sz w:val="24"/>
        </w:rPr>
      </w:pPr>
    </w:p>
    <w:p w:rsidR="00FB0778" w:rsidP="00240F89" w:rsidRDefault="00FB0778" w14:paraId="7D2AF9ED" w14:textId="3E0E5B2D">
      <w:pPr>
        <w:jc w:val="both"/>
        <w:rPr>
          <w:sz w:val="24"/>
        </w:rPr>
      </w:pPr>
      <w:r w:rsidRPr="00FB0778">
        <w:rPr>
          <w:sz w:val="24"/>
        </w:rPr>
        <w:t>Although differences in neutron energy spectra between fission and fusion sources are known, the cross section for the O-17(</w:t>
      </w:r>
      <w:proofErr w:type="spellStart"/>
      <w:proofErr w:type="gramStart"/>
      <w:r w:rsidRPr="00FB0778">
        <w:rPr>
          <w:sz w:val="24"/>
        </w:rPr>
        <w:t>n,p</w:t>
      </w:r>
      <w:proofErr w:type="spellEnd"/>
      <w:proofErr w:type="gramEnd"/>
      <w:r w:rsidRPr="00FB0778">
        <w:rPr>
          <w:sz w:val="24"/>
        </w:rPr>
        <w:t xml:space="preserve">)N-17 reaction, with its threshold (Eₜᵣₑ ≈ 9 MeV), excludes the part of the spectrum where the two differ most. This allows the activation </w:t>
      </w:r>
      <w:proofErr w:type="spellStart"/>
      <w:r w:rsidRPr="00FB0778">
        <w:rPr>
          <w:sz w:val="24"/>
        </w:rPr>
        <w:t>behaviour</w:t>
      </w:r>
      <w:proofErr w:type="spellEnd"/>
      <w:r w:rsidRPr="00FB0778">
        <w:rPr>
          <w:sz w:val="24"/>
        </w:rPr>
        <w:t xml:space="preserve"> to be effectively approximated. Experimental results are compared with JET measurements and activation simulations to evaluate the extent to which the activation </w:t>
      </w:r>
      <w:proofErr w:type="spellStart"/>
      <w:r w:rsidRPr="00FB0778">
        <w:rPr>
          <w:sz w:val="24"/>
        </w:rPr>
        <w:t>behaviour</w:t>
      </w:r>
      <w:proofErr w:type="spellEnd"/>
      <w:r w:rsidRPr="00FB0778">
        <w:rPr>
          <w:sz w:val="24"/>
        </w:rPr>
        <w:t xml:space="preserve"> can be reproduced.</w:t>
      </w:r>
    </w:p>
    <w:p w:rsidR="0043159C" w:rsidP="00240F89" w:rsidRDefault="0043159C" w14:paraId="6FA42939" w14:textId="77777777">
      <w:pPr>
        <w:jc w:val="both"/>
        <w:rPr>
          <w:sz w:val="24"/>
        </w:rPr>
      </w:pPr>
    </w:p>
    <w:p w:rsidR="00240F89" w:rsidP="00240F89" w:rsidRDefault="00240F89" w14:paraId="5C697FE2" w14:textId="633180E7">
      <w:pPr>
        <w:jc w:val="both"/>
        <w:rPr>
          <w:sz w:val="24"/>
        </w:rPr>
      </w:pPr>
      <w:r w:rsidRPr="00240F89">
        <w:rPr>
          <w:sz w:val="24"/>
        </w:rPr>
        <w:t>This work highlights the potential of research reactor facilities as flexible and cost-effective platforms for fusion neutronics studies, enabling experimental validation and supporting future fusion reactor development.</w:t>
      </w:r>
    </w:p>
    <w:p w:rsidR="00240F89" w:rsidP="00240F89" w:rsidRDefault="00240F89" w14:paraId="1EA9321C" w14:textId="77777777">
      <w:pPr>
        <w:jc w:val="both"/>
        <w:rPr>
          <w:sz w:val="24"/>
        </w:rPr>
      </w:pPr>
    </w:p>
    <w:p w:rsidR="00096AB2" w:rsidP="00DB3E36" w:rsidRDefault="00096AB2" w14:paraId="0A719975" w14:textId="77777777">
      <w:pPr>
        <w:jc w:val="both"/>
        <w:rPr>
          <w:sz w:val="24"/>
        </w:rPr>
      </w:pPr>
    </w:p>
    <w:tbl>
      <w:tblPr>
        <w:tblStyle w:val="TableGrid"/>
        <w:tblW w:w="0" w:type="auto"/>
        <w:jc w:val="center"/>
        <w:tblLook w:val="04A0" w:firstRow="1" w:lastRow="0" w:firstColumn="1" w:lastColumn="0" w:noHBand="0" w:noVBand="1"/>
      </w:tblPr>
      <w:tblGrid>
        <w:gridCol w:w="2547"/>
        <w:gridCol w:w="2835"/>
      </w:tblGrid>
      <w:tr w:rsidR="00096AB2" w:rsidTr="3BBAC7E7" w14:paraId="6AA624F1" w14:textId="77777777">
        <w:trPr>
          <w:jc w:val="center"/>
        </w:trPr>
        <w:tc>
          <w:tcPr>
            <w:tcW w:w="2547" w:type="dxa"/>
            <w:vMerge w:val="restart"/>
            <w:tcMar/>
          </w:tcPr>
          <w:p w:rsidR="00096AB2" w:rsidP="0025113E" w:rsidRDefault="00096AB2" w14:paraId="2B232C56" w14:textId="606DF2F0">
            <w:pPr>
              <w:rPr>
                <w:iCs/>
                <w:sz w:val="24"/>
              </w:rPr>
            </w:pPr>
            <w:r>
              <w:rPr>
                <w:iCs/>
                <w:sz w:val="24"/>
              </w:rPr>
              <w:t>Type of contribution:</w:t>
            </w:r>
          </w:p>
        </w:tc>
        <w:tc>
          <w:tcPr>
            <w:tcW w:w="2835" w:type="dxa"/>
            <w:tcMar/>
          </w:tcPr>
          <w:p w:rsidR="00096AB2" w:rsidP="3BBAC7E7" w:rsidRDefault="00096AB2" w14:paraId="7F689842" w14:textId="3E433435">
            <w:pPr>
              <w:rPr>
                <w:sz w:val="24"/>
                <w:szCs w:val="24"/>
              </w:rPr>
            </w:pPr>
            <w:r w:rsidRPr="3BBAC7E7" w:rsidR="00096AB2">
              <w:rPr>
                <w:sz w:val="24"/>
                <w:szCs w:val="24"/>
              </w:rPr>
              <w:t xml:space="preserve">Poster session               </w:t>
            </w:r>
            <w:sdt>
              <w:sdtPr>
                <w:id w:val="-506132384"/>
                <w14:checkbox>
                  <w14:checked w14:val="0"/>
                  <w14:checkedState w14:val="2612" w14:font="MS Gothic"/>
                  <w14:uncheckedState w14:val="2610" w14:font="MS Gothic"/>
                </w14:checkbox>
                <w:rPr>
                  <w:b w:val="1"/>
                  <w:bCs w:val="1"/>
                  <w:sz w:val="24"/>
                  <w:szCs w:val="24"/>
                </w:rPr>
              </w:sdtPr>
              <w:sdtContent>
                <w:r w:rsidRPr="3BBAC7E7" w:rsidR="4F2FC1E2">
                  <w:rPr>
                    <w:rFonts w:ascii="MS Gothic" w:hAnsi="MS Gothic" w:eastAsia="MS Gothic" w:cs="MS Gothic"/>
                    <w:b w:val="1"/>
                    <w:bCs w:val="1"/>
                    <w:sz w:val="24"/>
                    <w:szCs w:val="24"/>
                  </w:rPr>
                  <w:t>☐</w:t>
                </w:r>
              </w:sdtContent>
              <w:sdtEndPr>
                <w:rPr>
                  <w:b w:val="1"/>
                  <w:bCs w:val="1"/>
                  <w:sz w:val="24"/>
                  <w:szCs w:val="24"/>
                </w:rPr>
              </w:sdtEndPr>
            </w:sdt>
            <w:r w:rsidRPr="3BBAC7E7" w:rsidR="00096AB2">
              <w:rPr>
                <w:sz w:val="24"/>
                <w:szCs w:val="24"/>
              </w:rPr>
              <w:t xml:space="preserve"> </w:t>
            </w:r>
          </w:p>
        </w:tc>
      </w:tr>
      <w:tr w:rsidR="00096AB2" w:rsidTr="3BBAC7E7" w14:paraId="153A603A" w14:textId="77777777">
        <w:trPr>
          <w:jc w:val="center"/>
        </w:trPr>
        <w:tc>
          <w:tcPr>
            <w:tcW w:w="2547" w:type="dxa"/>
            <w:vMerge/>
            <w:tcMar/>
          </w:tcPr>
          <w:p w:rsidR="00096AB2" w:rsidP="0025113E" w:rsidRDefault="00096AB2" w14:paraId="02E43341" w14:textId="77777777">
            <w:pPr>
              <w:rPr>
                <w:iCs/>
                <w:sz w:val="24"/>
              </w:rPr>
            </w:pPr>
          </w:p>
        </w:tc>
        <w:tc>
          <w:tcPr>
            <w:tcW w:w="2835" w:type="dxa"/>
            <w:tcMar/>
          </w:tcPr>
          <w:p w:rsidR="00096AB2" w:rsidP="0025113E" w:rsidRDefault="00096AB2" w14:paraId="078F0834" w14:textId="3A94358E">
            <w:pPr>
              <w:rPr>
                <w:iCs/>
                <w:sz w:val="24"/>
              </w:rPr>
            </w:pPr>
            <w:r>
              <w:rPr>
                <w:iCs/>
                <w:sz w:val="24"/>
              </w:rPr>
              <w:t xml:space="preserve">Oral Contribution         </w:t>
            </w:r>
            <w:sdt>
              <w:sdtPr>
                <w:rPr>
                  <w:b/>
                  <w:bCs/>
                  <w:iCs/>
                  <w:sz w:val="24"/>
                </w:rPr>
                <w:id w:val="-519542827"/>
                <w14:checkbox>
                  <w14:checked w14:val="1"/>
                  <w14:checkedState w14:val="2612" w14:font="MS Gothic"/>
                  <w14:uncheckedState w14:val="2610" w14:font="MS Gothic"/>
                </w14:checkbox>
              </w:sdtPr>
              <w:sdtContent>
                <w:r w:rsidR="00FB0778">
                  <w:rPr>
                    <w:rFonts w:hint="eastAsia" w:ascii="MS Gothic" w:hAnsi="MS Gothic" w:eastAsia="MS Gothic"/>
                    <w:b/>
                    <w:bCs/>
                    <w:iCs/>
                    <w:sz w:val="24"/>
                  </w:rPr>
                  <w:t>☒</w:t>
                </w:r>
              </w:sdtContent>
            </w:sdt>
          </w:p>
        </w:tc>
      </w:tr>
    </w:tbl>
    <w:p w:rsidR="00096AB2" w:rsidP="0043159C" w:rsidRDefault="00096AB2" w14:paraId="284CF36C" w14:textId="77777777">
      <w:pPr>
        <w:jc w:val="both"/>
        <w:rPr>
          <w:sz w:val="24"/>
        </w:rPr>
      </w:pPr>
    </w:p>
    <w:sectPr w:rsidR="00096AB2" w:rsidSect="00D956BD">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D6E" w:rsidRDefault="00D43D6E" w14:paraId="004A6D8D" w14:textId="77777777">
      <w:r>
        <w:separator/>
      </w:r>
    </w:p>
  </w:endnote>
  <w:endnote w:type="continuationSeparator" w:id="0">
    <w:p w:rsidR="00D43D6E" w:rsidRDefault="00D43D6E" w14:paraId="7B4284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52D" w:rsidRDefault="002C752D" w14:paraId="5567C8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52D" w:rsidRDefault="002C752D" w14:paraId="332725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52D" w:rsidRDefault="002C752D" w14:paraId="7DF3B9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D6E" w:rsidRDefault="00D43D6E" w14:paraId="6FA0720B" w14:textId="77777777">
      <w:r>
        <w:separator/>
      </w:r>
    </w:p>
  </w:footnote>
  <w:footnote w:type="continuationSeparator" w:id="0">
    <w:p w:rsidR="00D43D6E" w:rsidRDefault="00D43D6E" w14:paraId="4322C6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52D" w:rsidRDefault="002C752D" w14:paraId="54FEFC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52D" w:rsidRDefault="002C752D" w14:paraId="0F9A0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52D" w:rsidRDefault="002C752D" w14:paraId="16C2075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E3NTe0MDMwN7NU0lEKTi0uzszPAykwrAUAH6u8UywAAAA="/>
  </w:docVars>
  <w:rsids>
    <w:rsidRoot w:val="00DB3E36"/>
    <w:rsid w:val="000942B0"/>
    <w:rsid w:val="00096AB2"/>
    <w:rsid w:val="000C1E8B"/>
    <w:rsid w:val="000F219C"/>
    <w:rsid w:val="001C2E1D"/>
    <w:rsid w:val="00240F89"/>
    <w:rsid w:val="002C752D"/>
    <w:rsid w:val="002D07B6"/>
    <w:rsid w:val="0043159C"/>
    <w:rsid w:val="0048544C"/>
    <w:rsid w:val="004A73A3"/>
    <w:rsid w:val="00553659"/>
    <w:rsid w:val="00562297"/>
    <w:rsid w:val="005D14AD"/>
    <w:rsid w:val="00636B4E"/>
    <w:rsid w:val="00724EE4"/>
    <w:rsid w:val="007921F1"/>
    <w:rsid w:val="007A67E8"/>
    <w:rsid w:val="007B29CD"/>
    <w:rsid w:val="00805BCC"/>
    <w:rsid w:val="00807A54"/>
    <w:rsid w:val="0085430E"/>
    <w:rsid w:val="00866E67"/>
    <w:rsid w:val="009737D6"/>
    <w:rsid w:val="00A31997"/>
    <w:rsid w:val="00A84D73"/>
    <w:rsid w:val="00B74092"/>
    <w:rsid w:val="00B83222"/>
    <w:rsid w:val="00C10C3D"/>
    <w:rsid w:val="00D43D6E"/>
    <w:rsid w:val="00D52D69"/>
    <w:rsid w:val="00DB3E36"/>
    <w:rsid w:val="00DE2242"/>
    <w:rsid w:val="00E007B3"/>
    <w:rsid w:val="00E716CB"/>
    <w:rsid w:val="00E74B39"/>
    <w:rsid w:val="00E80D81"/>
    <w:rsid w:val="00E8630A"/>
    <w:rsid w:val="00F61760"/>
    <w:rsid w:val="00FB0778"/>
    <w:rsid w:val="00FC6CD5"/>
    <w:rsid w:val="0D015F46"/>
    <w:rsid w:val="3BBAC7E7"/>
    <w:rsid w:val="422475F5"/>
    <w:rsid w:val="4F2FC1E2"/>
    <w:rsid w:val="6C45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A83"/>
  <w15:chartTrackingRefBased/>
  <w15:docId w15:val="{279FD900-7582-47D9-A1AB-384B2AE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3E36"/>
    <w:rPr>
      <w:rFonts w:ascii="Times New Roman" w:hAnsi="Times New Roman" w:eastAsia="Times New Roman"/>
      <w:lang w:eastAsia="ja-JP"/>
    </w:rPr>
  </w:style>
  <w:style w:type="paragraph" w:styleId="Heading1">
    <w:name w:val="heading 1"/>
    <w:basedOn w:val="Normal"/>
    <w:next w:val="Normal"/>
    <w:link w:val="Heading1Char"/>
    <w:uiPriority w:val="9"/>
    <w:qFormat/>
    <w:rsid w:val="002D07B6"/>
    <w:pPr>
      <w:keepNext/>
      <w:keepLines/>
      <w:spacing w:before="240"/>
      <w:outlineLvl w:val="0"/>
    </w:pPr>
    <w:rPr>
      <w:rFonts w:ascii="Calibri Light" w:hAnsi="Calibri Light"/>
      <w:color w:val="2E74B5"/>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DB3E36"/>
    <w:pPr>
      <w:ind w:firstLine="360"/>
    </w:pPr>
  </w:style>
  <w:style w:type="character" w:styleId="Hyperlink">
    <w:name w:val="Hyperlink"/>
    <w:uiPriority w:val="99"/>
    <w:unhideWhenUsed/>
    <w:rsid w:val="00DB3E36"/>
    <w:rPr>
      <w:color w:val="0000FF"/>
      <w:u w:val="single"/>
    </w:rPr>
  </w:style>
  <w:style w:type="paragraph" w:styleId="Header">
    <w:name w:val="header"/>
    <w:basedOn w:val="Normal"/>
    <w:link w:val="HeaderChar"/>
    <w:uiPriority w:val="99"/>
    <w:unhideWhenUsed/>
    <w:rsid w:val="00DB3E36"/>
    <w:pPr>
      <w:tabs>
        <w:tab w:val="center" w:pos="4680"/>
        <w:tab w:val="right" w:pos="9360"/>
      </w:tabs>
    </w:pPr>
  </w:style>
  <w:style w:type="character" w:styleId="HeaderChar" w:customStyle="1">
    <w:name w:val="Header Char"/>
    <w:link w:val="Header"/>
    <w:uiPriority w:val="99"/>
    <w:rsid w:val="00DB3E36"/>
    <w:rPr>
      <w:rFonts w:ascii="Times New Roman" w:hAnsi="Times New Roman" w:eastAsia="Times New Roman" w:cs="Times New Roman"/>
      <w:sz w:val="20"/>
      <w:szCs w:val="20"/>
      <w:lang w:eastAsia="ja-JP"/>
    </w:rPr>
  </w:style>
  <w:style w:type="paragraph" w:styleId="Footer">
    <w:name w:val="footer"/>
    <w:basedOn w:val="Normal"/>
    <w:link w:val="FooterChar"/>
    <w:uiPriority w:val="99"/>
    <w:unhideWhenUsed/>
    <w:rsid w:val="00DB3E36"/>
    <w:pPr>
      <w:tabs>
        <w:tab w:val="center" w:pos="4680"/>
        <w:tab w:val="right" w:pos="9360"/>
      </w:tabs>
    </w:pPr>
  </w:style>
  <w:style w:type="character" w:styleId="FooterChar" w:customStyle="1">
    <w:name w:val="Footer Char"/>
    <w:link w:val="Footer"/>
    <w:uiPriority w:val="99"/>
    <w:rsid w:val="00DB3E36"/>
    <w:rPr>
      <w:rFonts w:ascii="Times New Roman" w:hAnsi="Times New Roman" w:eastAsia="Times New Roman" w:cs="Times New Roman"/>
      <w:sz w:val="20"/>
      <w:szCs w:val="20"/>
      <w:lang w:eastAsia="ja-JP"/>
    </w:rPr>
  </w:style>
  <w:style w:type="paragraph" w:styleId="Title">
    <w:name w:val="Title"/>
    <w:basedOn w:val="Normal"/>
    <w:next w:val="Normal"/>
    <w:link w:val="TitleChar"/>
    <w:uiPriority w:val="10"/>
    <w:qFormat/>
    <w:rsid w:val="00DB3E36"/>
    <w:pPr>
      <w:contextualSpacing/>
    </w:pPr>
    <w:rPr>
      <w:rFonts w:ascii="Calibri Light" w:hAnsi="Calibri Light"/>
      <w:spacing w:val="-10"/>
      <w:kern w:val="28"/>
      <w:sz w:val="56"/>
      <w:szCs w:val="56"/>
    </w:rPr>
  </w:style>
  <w:style w:type="character" w:styleId="TitleChar" w:customStyle="1">
    <w:name w:val="Title Char"/>
    <w:link w:val="Title"/>
    <w:uiPriority w:val="10"/>
    <w:rsid w:val="00DB3E36"/>
    <w:rPr>
      <w:rFonts w:ascii="Calibri Light" w:hAnsi="Calibri Light" w:eastAsia="Times New Roman" w:cs="Times New Roman"/>
      <w:spacing w:val="-10"/>
      <w:kern w:val="28"/>
      <w:sz w:val="56"/>
      <w:szCs w:val="56"/>
      <w:lang w:eastAsia="ja-JP"/>
    </w:rPr>
  </w:style>
  <w:style w:type="character" w:styleId="Heading1Char" w:customStyle="1">
    <w:name w:val="Heading 1 Char"/>
    <w:link w:val="Heading1"/>
    <w:uiPriority w:val="9"/>
    <w:rsid w:val="002D07B6"/>
    <w:rPr>
      <w:rFonts w:ascii="Calibri Light" w:hAnsi="Calibri Light" w:eastAsia="Times New Roman" w:cs="Times New Roman"/>
      <w:color w:val="2E74B5"/>
      <w:sz w:val="32"/>
      <w:szCs w:val="32"/>
      <w:lang w:eastAsia="ja-JP"/>
    </w:rPr>
  </w:style>
  <w:style w:type="character" w:styleId="UnresolvedMention">
    <w:name w:val="Unresolved Mention"/>
    <w:basedOn w:val="DefaultParagraphFont"/>
    <w:uiPriority w:val="99"/>
    <w:semiHidden/>
    <w:unhideWhenUsed/>
    <w:rsid w:val="007B29CD"/>
    <w:rPr>
      <w:color w:val="605E5C"/>
      <w:shd w:val="clear" w:color="auto" w:fill="E1DFDD"/>
    </w:rPr>
  </w:style>
  <w:style w:type="table" w:styleId="TableGrid">
    <w:name w:val="Table Grid"/>
    <w:basedOn w:val="TableNormal"/>
    <w:uiPriority w:val="39"/>
    <w:rsid w:val="009737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240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julijan.peric@ijs.si" TargetMode="Externa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721546272CD468B18464B66B4DFB7" ma:contentTypeVersion="13" ma:contentTypeDescription="Create a new document." ma:contentTypeScope="" ma:versionID="6ec0361c81a0d826427ce655ba51706c">
  <xsd:schema xmlns:xsd="http://www.w3.org/2001/XMLSchema" xmlns:xs="http://www.w3.org/2001/XMLSchema" xmlns:p="http://schemas.microsoft.com/office/2006/metadata/properties" xmlns:ns2="dac7d76e-4156-4210-9604-d2ff15f3146b" xmlns:ns3="232f2610-36d7-4e00-a50a-5418b612b21e" targetNamespace="http://schemas.microsoft.com/office/2006/metadata/properties" ma:root="true" ma:fieldsID="fab9b9f7b972699cccb08ebb2d27ca7e" ns2:_="" ns3:_="">
    <xsd:import namespace="dac7d76e-4156-4210-9604-d2ff15f3146b"/>
    <xsd:import namespace="232f2610-36d7-4e00-a50a-5418b612b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d76e-4156-4210-9604-d2ff15f3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f2610-36d7-4e00-a50a-5418b612b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a3bb72-24b6-4347-9801-efcbcc4b578f}" ma:internalName="TaxCatchAll" ma:showField="CatchAllData" ma:web="232f2610-36d7-4e00-a50a-5418b612b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2f2610-36d7-4e00-a50a-5418b612b21e" xsi:nil="true"/>
    <lcf76f155ced4ddcb4097134ff3c332f xmlns="dac7d76e-4156-4210-9604-d2ff15f314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91240-562E-4021-856C-81BB49CB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d76e-4156-4210-9604-d2ff15f3146b"/>
    <ds:schemaRef ds:uri="232f2610-36d7-4e00-a50a-5418b612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34282-5ADC-4F0F-98CF-0A8AD42DFF5C}">
  <ds:schemaRefs>
    <ds:schemaRef ds:uri="http://schemas.microsoft.com/office/2006/metadata/properties"/>
    <ds:schemaRef ds:uri="http://schemas.microsoft.com/office/infopath/2007/PartnerControls"/>
    <ds:schemaRef ds:uri="232f2610-36d7-4e00-a50a-5418b612b21e"/>
    <ds:schemaRef ds:uri="dac7d76e-4156-4210-9604-d2ff15f3146b"/>
  </ds:schemaRefs>
</ds:datastoreItem>
</file>

<file path=customXml/itemProps3.xml><?xml version="1.0" encoding="utf-8"?>
<ds:datastoreItem xmlns:ds="http://schemas.openxmlformats.org/officeDocument/2006/customXml" ds:itemID="{D4123DBF-88A7-4789-BEE1-3C007C095B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LANL DCS-CSD</ap:Company>
  <ap:SharedDoc>false</ap:SharedDoc>
  <ap:HyperlinkBase>MCNP® 2021 User Symposium Abstract Template</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MCNP® 2021 User Symposium Abstract Template</dc:title>
  <dc:subject>Abstract template</dc:subject>
  <dc:creator>Haag, Sarah Marie</dc:creator>
  <keywords/>
  <dc:description/>
  <lastModifiedBy>Julijan Peric</lastModifiedBy>
  <revision>19</revision>
  <dcterms:created xsi:type="dcterms:W3CDTF">2021-04-12T23:49:00.0000000Z</dcterms:created>
  <dcterms:modified xsi:type="dcterms:W3CDTF">2026-04-07T18:00:08.1023567Z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0x010100730721546272CD468B18464B66B4DFB7</vt:lpwstr>
  </property>
</Properties>
</file>