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A6D0" w14:textId="77777777" w:rsidR="00004BA9" w:rsidRDefault="00000000">
      <w:pPr>
        <w:jc w:val="center"/>
        <w:rPr>
          <w:b/>
          <w:sz w:val="28"/>
          <w:szCs w:val="24"/>
        </w:rPr>
      </w:pPr>
      <w:r>
        <w:t xml:space="preserve"> </w:t>
      </w:r>
      <w:r>
        <w:rPr>
          <w:rFonts w:hint="eastAsia"/>
          <w:b/>
          <w:sz w:val="28"/>
          <w:szCs w:val="24"/>
        </w:rPr>
        <w:t xml:space="preserve">Comparative Analysis of Activated Corrosion Products in Key Systems of </w:t>
      </w:r>
    </w:p>
    <w:p w14:paraId="474AA7B5" w14:textId="77777777" w:rsidR="00004BA9" w:rsidRDefault="00000000">
      <w:pPr>
        <w:jc w:val="center"/>
        <w:rPr>
          <w:b/>
          <w:sz w:val="28"/>
          <w:szCs w:val="24"/>
        </w:rPr>
      </w:pPr>
      <w:r>
        <w:rPr>
          <w:rFonts w:hint="eastAsia"/>
          <w:b/>
          <w:sz w:val="28"/>
          <w:szCs w:val="24"/>
        </w:rPr>
        <w:t>a Burning Plasma Experimental Tokamak</w:t>
      </w:r>
    </w:p>
    <w:p w14:paraId="1610A4BF" w14:textId="77777777" w:rsidR="00004BA9" w:rsidRDefault="00004BA9">
      <w:pPr>
        <w:rPr>
          <w:b/>
          <w:sz w:val="24"/>
        </w:rPr>
      </w:pPr>
    </w:p>
    <w:p w14:paraId="178CECA2" w14:textId="77777777" w:rsidR="00004BA9" w:rsidRDefault="00000000">
      <w:pPr>
        <w:jc w:val="center"/>
        <w:rPr>
          <w:rFonts w:eastAsiaTheme="minorEastAsia"/>
          <w:sz w:val="24"/>
          <w:lang w:eastAsia="zh-CN"/>
        </w:rPr>
      </w:pPr>
      <w:r>
        <w:rPr>
          <w:rFonts w:eastAsiaTheme="minorEastAsia" w:hint="eastAsia"/>
          <w:sz w:val="24"/>
          <w:lang w:eastAsia="zh-CN"/>
        </w:rPr>
        <w:t>Chen Yang*</w:t>
      </w:r>
      <w:r>
        <w:rPr>
          <w:rFonts w:eastAsiaTheme="minorEastAsia" w:hint="eastAsia"/>
          <w:sz w:val="24"/>
          <w:vertAlign w:val="superscript"/>
          <w:lang w:eastAsia="zh-CN"/>
        </w:rPr>
        <w:t>,</w:t>
      </w:r>
      <w:proofErr w:type="gramStart"/>
      <w:r>
        <w:rPr>
          <w:rFonts w:eastAsiaTheme="minorEastAsia" w:hint="eastAsia"/>
          <w:sz w:val="24"/>
          <w:vertAlign w:val="superscript"/>
          <w:lang w:eastAsia="zh-CN"/>
        </w:rPr>
        <w:t>1</w:t>
      </w:r>
      <w:r>
        <w:rPr>
          <w:sz w:val="24"/>
        </w:rPr>
        <w:t xml:space="preserve">,  </w:t>
      </w:r>
      <w:proofErr w:type="spellStart"/>
      <w:r>
        <w:rPr>
          <w:sz w:val="24"/>
        </w:rPr>
        <w:t>Xiaokang</w:t>
      </w:r>
      <w:proofErr w:type="spellEnd"/>
      <w:proofErr w:type="gramEnd"/>
      <w:r>
        <w:rPr>
          <w:sz w:val="24"/>
        </w:rPr>
        <w:t xml:space="preserve"> Zhang</w:t>
      </w:r>
      <w:proofErr w:type="gramStart"/>
      <w:r>
        <w:rPr>
          <w:rFonts w:eastAsia="宋体" w:hint="eastAsia"/>
          <w:sz w:val="24"/>
          <w:vertAlign w:val="superscript"/>
          <w:lang w:eastAsia="zh-CN"/>
        </w:rPr>
        <w:t>2</w:t>
      </w:r>
      <w:r>
        <w:rPr>
          <w:sz w:val="24"/>
        </w:rPr>
        <w:t xml:space="preserve">,  </w:t>
      </w:r>
      <w:r>
        <w:rPr>
          <w:rFonts w:eastAsiaTheme="minorEastAsia" w:hint="eastAsia"/>
          <w:sz w:val="24"/>
          <w:lang w:eastAsia="zh-CN"/>
        </w:rPr>
        <w:t>Wei</w:t>
      </w:r>
      <w:proofErr w:type="gramEnd"/>
      <w:r>
        <w:rPr>
          <w:rFonts w:eastAsiaTheme="minorEastAsia" w:hint="eastAsia"/>
          <w:sz w:val="24"/>
          <w:lang w:eastAsia="zh-CN"/>
        </w:rPr>
        <w:t xml:space="preserve"> Sun</w:t>
      </w:r>
      <w:r>
        <w:rPr>
          <w:rFonts w:eastAsiaTheme="minorEastAsia" w:hint="eastAsia"/>
          <w:sz w:val="24"/>
          <w:vertAlign w:val="superscript"/>
          <w:lang w:eastAsia="zh-CN"/>
        </w:rPr>
        <w:t>3</w:t>
      </w:r>
    </w:p>
    <w:p w14:paraId="145ED400" w14:textId="77777777" w:rsidR="00004BA9" w:rsidRDefault="00004BA9">
      <w:pPr>
        <w:rPr>
          <w:sz w:val="24"/>
        </w:rPr>
      </w:pPr>
    </w:p>
    <w:p w14:paraId="14F7D2FA" w14:textId="77777777" w:rsidR="00004BA9" w:rsidRDefault="00000000">
      <w:pPr>
        <w:jc w:val="center"/>
        <w:rPr>
          <w:i/>
          <w:sz w:val="24"/>
        </w:rPr>
      </w:pPr>
      <w:r>
        <w:rPr>
          <w:i/>
          <w:sz w:val="24"/>
          <w:vertAlign w:val="superscript"/>
        </w:rPr>
        <w:t>1</w:t>
      </w:r>
      <w:r>
        <w:rPr>
          <w:i/>
          <w:sz w:val="24"/>
        </w:rPr>
        <w:t>Institute of Energy, Hefei Comprehensive National Science Center, Hefei 230031, China</w:t>
      </w:r>
    </w:p>
    <w:p w14:paraId="4368BF51" w14:textId="77777777" w:rsidR="00004BA9" w:rsidRDefault="00000000">
      <w:pPr>
        <w:jc w:val="center"/>
        <w:rPr>
          <w:rFonts w:eastAsiaTheme="minorEastAsia"/>
          <w:i/>
          <w:sz w:val="24"/>
          <w:lang w:eastAsia="zh-CN"/>
        </w:rPr>
      </w:pPr>
      <w:r>
        <w:rPr>
          <w:rFonts w:eastAsiaTheme="minorEastAsia" w:hint="eastAsia"/>
          <w:i/>
          <w:sz w:val="24"/>
          <w:vertAlign w:val="superscript"/>
          <w:lang w:eastAsia="zh-CN"/>
        </w:rPr>
        <w:t>2</w:t>
      </w:r>
      <w:r>
        <w:rPr>
          <w:rFonts w:eastAsiaTheme="minorEastAsia"/>
          <w:i/>
          <w:sz w:val="24"/>
          <w:lang w:eastAsia="zh-CN"/>
        </w:rPr>
        <w:t>Institute of Plasma Physics, Hefei Institutes of Physical Science, Chinese Academy of Sciences, Hefei 230031, China</w:t>
      </w:r>
    </w:p>
    <w:p w14:paraId="62342DA9" w14:textId="77777777" w:rsidR="00004BA9" w:rsidRDefault="00000000">
      <w:pPr>
        <w:jc w:val="center"/>
        <w:rPr>
          <w:rFonts w:eastAsiaTheme="minorEastAsia"/>
          <w:i/>
          <w:sz w:val="24"/>
          <w:lang w:eastAsia="zh-CN"/>
        </w:rPr>
      </w:pPr>
      <w:r>
        <w:rPr>
          <w:rFonts w:eastAsia="宋体" w:hint="eastAsia"/>
          <w:i/>
          <w:sz w:val="24"/>
          <w:vertAlign w:val="superscript"/>
          <w:lang w:eastAsia="zh-CN"/>
        </w:rPr>
        <w:t>3</w:t>
      </w:r>
      <w:r>
        <w:rPr>
          <w:i/>
          <w:sz w:val="24"/>
        </w:rPr>
        <w:t>Anhui University of Science and Technology</w:t>
      </w:r>
      <w:r>
        <w:rPr>
          <w:rFonts w:eastAsiaTheme="minorEastAsia" w:hint="eastAsia"/>
          <w:i/>
          <w:sz w:val="24"/>
          <w:lang w:eastAsia="zh-CN"/>
        </w:rPr>
        <w:t>,</w:t>
      </w:r>
      <w:r>
        <w:rPr>
          <w:i/>
          <w:sz w:val="24"/>
        </w:rPr>
        <w:t xml:space="preserve"> Hefei 23</w:t>
      </w:r>
      <w:r>
        <w:rPr>
          <w:rFonts w:eastAsiaTheme="minorEastAsia" w:hint="eastAsia"/>
          <w:i/>
          <w:sz w:val="24"/>
          <w:lang w:eastAsia="zh-CN"/>
        </w:rPr>
        <w:t>11</w:t>
      </w:r>
      <w:r>
        <w:rPr>
          <w:i/>
          <w:sz w:val="24"/>
        </w:rPr>
        <w:t>31, China</w:t>
      </w:r>
    </w:p>
    <w:p w14:paraId="2C08D996" w14:textId="77777777" w:rsidR="00004BA9" w:rsidRDefault="00004BA9">
      <w:pPr>
        <w:jc w:val="center"/>
        <w:rPr>
          <w:rFonts w:eastAsiaTheme="minorEastAsia"/>
          <w:i/>
          <w:sz w:val="24"/>
          <w:lang w:eastAsia="zh-CN"/>
        </w:rPr>
      </w:pPr>
    </w:p>
    <w:p w14:paraId="7AD49032" w14:textId="77777777" w:rsidR="00004BA9" w:rsidRDefault="00004BA9">
      <w:pPr>
        <w:rPr>
          <w:rFonts w:eastAsiaTheme="minorEastAsia"/>
          <w:i/>
          <w:sz w:val="24"/>
          <w:lang w:eastAsia="zh-CN"/>
        </w:rPr>
      </w:pPr>
    </w:p>
    <w:p w14:paraId="0BC07B8A" w14:textId="77777777" w:rsidR="00004BA9" w:rsidRDefault="00000000">
      <w:pPr>
        <w:spacing w:after="120"/>
        <w:jc w:val="center"/>
        <w:rPr>
          <w:iCs/>
          <w:sz w:val="24"/>
        </w:rPr>
      </w:pPr>
      <w:r>
        <w:rPr>
          <w:iCs/>
          <w:sz w:val="24"/>
        </w:rPr>
        <w:t xml:space="preserve">Corresponding Author Email: </w:t>
      </w:r>
      <w:r>
        <w:rPr>
          <w:rFonts w:eastAsia="宋体" w:hint="eastAsia"/>
          <w:iCs/>
          <w:sz w:val="24"/>
          <w:lang w:eastAsia="zh-CN"/>
        </w:rPr>
        <w:t>yc15083435560@163.com</w:t>
      </w:r>
      <w:r>
        <w:rPr>
          <w:iCs/>
          <w:sz w:val="24"/>
        </w:rPr>
        <w:t xml:space="preserve"> </w:t>
      </w:r>
    </w:p>
    <w:p w14:paraId="72501B66" w14:textId="77777777" w:rsidR="00004BA9" w:rsidRDefault="00004BA9">
      <w:pPr>
        <w:jc w:val="center"/>
        <w:rPr>
          <w:iCs/>
          <w:sz w:val="24"/>
          <w:u w:val="single"/>
        </w:rPr>
      </w:pPr>
    </w:p>
    <w:p w14:paraId="3A129630" w14:textId="77777777" w:rsidR="00004BA9" w:rsidRDefault="00004BA9">
      <w:pPr>
        <w:jc w:val="both"/>
        <w:rPr>
          <w:sz w:val="24"/>
        </w:rPr>
      </w:pPr>
    </w:p>
    <w:p w14:paraId="6ED62542" w14:textId="77777777" w:rsidR="00004BA9" w:rsidRPr="00070D80" w:rsidRDefault="00000000">
      <w:pPr>
        <w:spacing w:line="360" w:lineRule="auto"/>
        <w:ind w:firstLineChars="200" w:firstLine="480"/>
        <w:jc w:val="both"/>
        <w:rPr>
          <w:rFonts w:eastAsiaTheme="minorEastAsia"/>
          <w:sz w:val="24"/>
          <w:szCs w:val="24"/>
          <w:lang w:eastAsia="zh-CN"/>
        </w:rPr>
      </w:pPr>
      <w:r w:rsidRPr="00070D80">
        <w:rPr>
          <w:rFonts w:eastAsiaTheme="minorEastAsia"/>
          <w:sz w:val="24"/>
          <w:szCs w:val="24"/>
          <w:lang w:eastAsia="zh-CN"/>
        </w:rPr>
        <w:t>Activated corrosion products</w:t>
      </w:r>
      <w:r w:rsidRPr="00070D80">
        <w:rPr>
          <w:rFonts w:eastAsiaTheme="minorEastAsia" w:hint="eastAsia"/>
          <w:sz w:val="24"/>
          <w:szCs w:val="24"/>
          <w:lang w:eastAsia="zh-CN"/>
        </w:rPr>
        <w:t xml:space="preserve"> (ACPs)</w:t>
      </w:r>
      <w:r w:rsidRPr="00070D80">
        <w:rPr>
          <w:rFonts w:eastAsiaTheme="minorEastAsia"/>
          <w:sz w:val="24"/>
          <w:szCs w:val="24"/>
          <w:lang w:eastAsia="zh-CN"/>
        </w:rPr>
        <w:t xml:space="preserve"> are a key </w:t>
      </w:r>
      <w:r w:rsidRPr="00070D80">
        <w:rPr>
          <w:rFonts w:eastAsiaTheme="minorEastAsia" w:hint="eastAsia"/>
          <w:sz w:val="24"/>
          <w:szCs w:val="24"/>
          <w:lang w:eastAsia="zh-CN"/>
        </w:rPr>
        <w:t>source term</w:t>
      </w:r>
      <w:r w:rsidRPr="00070D80">
        <w:rPr>
          <w:rFonts w:eastAsiaTheme="minorEastAsia"/>
          <w:sz w:val="24"/>
          <w:szCs w:val="24"/>
          <w:lang w:eastAsia="zh-CN"/>
        </w:rPr>
        <w:t xml:space="preserve"> </w:t>
      </w:r>
      <w:r w:rsidRPr="00070D80">
        <w:rPr>
          <w:rFonts w:eastAsiaTheme="minorEastAsia" w:hint="eastAsia"/>
          <w:sz w:val="24"/>
          <w:szCs w:val="24"/>
          <w:lang w:eastAsia="zh-CN"/>
        </w:rPr>
        <w:t>for</w:t>
      </w:r>
      <w:r w:rsidRPr="00070D80">
        <w:rPr>
          <w:rFonts w:eastAsiaTheme="minorEastAsia"/>
          <w:sz w:val="24"/>
          <w:szCs w:val="24"/>
          <w:lang w:eastAsia="zh-CN"/>
        </w:rPr>
        <w:t xml:space="preserve"> shutdown dose rates and radioactive waste management in fusion reactors. In this </w:t>
      </w:r>
      <w:r w:rsidRPr="00070D80">
        <w:rPr>
          <w:rFonts w:eastAsiaTheme="minorEastAsia" w:hint="eastAsia"/>
          <w:sz w:val="24"/>
          <w:szCs w:val="24"/>
          <w:lang w:eastAsia="zh-CN"/>
        </w:rPr>
        <w:t>paper</w:t>
      </w:r>
      <w:r w:rsidRPr="00070D80">
        <w:rPr>
          <w:rFonts w:eastAsiaTheme="minorEastAsia"/>
          <w:sz w:val="24"/>
          <w:szCs w:val="24"/>
          <w:lang w:eastAsia="zh-CN"/>
        </w:rPr>
        <w:t>, we focus on a burning plasma experimental tokamak and apply the CATE (Corrosion</w:t>
      </w:r>
      <w:r w:rsidRPr="00070D80">
        <w:rPr>
          <w:rFonts w:eastAsiaTheme="minorEastAsia" w:hint="eastAsia"/>
          <w:sz w:val="24"/>
          <w:szCs w:val="24"/>
          <w:lang w:eastAsia="zh-CN"/>
        </w:rPr>
        <w:t xml:space="preserve">, </w:t>
      </w:r>
      <w:r w:rsidRPr="00070D80">
        <w:rPr>
          <w:rFonts w:eastAsiaTheme="minorEastAsia"/>
          <w:sz w:val="24"/>
          <w:szCs w:val="24"/>
          <w:lang w:eastAsia="zh-CN"/>
        </w:rPr>
        <w:t xml:space="preserve">Activation and Transport Evaluation) code to analyze four key systems: blanket first wall, shield block, vacuum vessel, and divertor. We calculate the evolution of </w:t>
      </w:r>
      <w:r w:rsidRPr="00070D80">
        <w:rPr>
          <w:rFonts w:eastAsiaTheme="minorEastAsia" w:hint="eastAsia"/>
          <w:sz w:val="24"/>
          <w:szCs w:val="24"/>
          <w:lang w:eastAsia="zh-CN"/>
        </w:rPr>
        <w:t>ACPs</w:t>
      </w:r>
      <w:r w:rsidRPr="00070D80">
        <w:rPr>
          <w:rFonts w:eastAsiaTheme="minorEastAsia"/>
          <w:sz w:val="24"/>
          <w:szCs w:val="24"/>
          <w:lang w:eastAsia="zh-CN"/>
        </w:rPr>
        <w:t xml:space="preserve"> during pulsed operation (0–10 years) and the post-shutdown period (10–40 years), examine the influence of coolant water chemistry, and track changes in </w:t>
      </w:r>
      <w:r w:rsidRPr="00070D80">
        <w:rPr>
          <w:rFonts w:eastAsiaTheme="minorEastAsia" w:hint="eastAsia"/>
          <w:sz w:val="24"/>
          <w:szCs w:val="24"/>
          <w:lang w:eastAsia="zh-CN"/>
        </w:rPr>
        <w:t>main</w:t>
      </w:r>
      <w:r w:rsidRPr="00070D80">
        <w:rPr>
          <w:rFonts w:eastAsiaTheme="minorEastAsia"/>
          <w:sz w:val="24"/>
          <w:szCs w:val="24"/>
          <w:lang w:eastAsia="zh-CN"/>
        </w:rPr>
        <w:t xml:space="preserve"> radionuclides</w:t>
      </w:r>
      <w:r w:rsidRPr="00070D80">
        <w:rPr>
          <w:rFonts w:eastAsiaTheme="minorEastAsia" w:hint="eastAsia"/>
          <w:sz w:val="24"/>
          <w:szCs w:val="24"/>
          <w:lang w:eastAsia="zh-CN"/>
        </w:rPr>
        <w:t>.</w:t>
      </w:r>
      <w:r w:rsidRPr="00070D80">
        <w:rPr>
          <w:rFonts w:eastAsiaTheme="minorEastAsia"/>
          <w:sz w:val="24"/>
          <w:szCs w:val="24"/>
          <w:lang w:eastAsia="zh-CN"/>
        </w:rPr>
        <w:t xml:space="preserve"> Our results show that immediately after shutdown, the blanket first wall exhibits the highest activity, followed by the shield block and the divertor, while the vacuum vessel shows the lowest. During the post-shutdown period, activity in all systems decays over time, but the blanket first wall remains the highest throughout. Increasing the coolant pH generally reduces the production of </w:t>
      </w:r>
      <w:r w:rsidRPr="00070D80">
        <w:rPr>
          <w:rFonts w:eastAsiaTheme="minorEastAsia" w:hint="eastAsia"/>
          <w:sz w:val="24"/>
          <w:szCs w:val="24"/>
          <w:lang w:eastAsia="zh-CN"/>
        </w:rPr>
        <w:t>ACPs</w:t>
      </w:r>
      <w:r w:rsidRPr="00070D80">
        <w:rPr>
          <w:rFonts w:eastAsiaTheme="minorEastAsia"/>
          <w:sz w:val="24"/>
          <w:szCs w:val="24"/>
          <w:lang w:eastAsia="zh-CN"/>
        </w:rPr>
        <w:t xml:space="preserve">. The </w:t>
      </w:r>
      <w:r w:rsidRPr="00070D80">
        <w:rPr>
          <w:rFonts w:eastAsiaTheme="minorEastAsia" w:hint="eastAsia"/>
          <w:sz w:val="24"/>
          <w:szCs w:val="24"/>
          <w:lang w:eastAsia="zh-CN"/>
        </w:rPr>
        <w:t>main</w:t>
      </w:r>
      <w:r w:rsidRPr="00070D80">
        <w:rPr>
          <w:rFonts w:eastAsiaTheme="minorEastAsia"/>
          <w:sz w:val="24"/>
          <w:szCs w:val="24"/>
          <w:lang w:eastAsia="zh-CN"/>
        </w:rPr>
        <w:t xml:space="preserve"> radionuclides in the coolant evolve in distinct stages: during early operation, C</w:t>
      </w:r>
      <w:r w:rsidRPr="00070D80">
        <w:rPr>
          <w:rFonts w:eastAsiaTheme="minorEastAsia" w:hint="eastAsia"/>
          <w:sz w:val="24"/>
          <w:szCs w:val="24"/>
          <w:lang w:eastAsia="zh-CN"/>
        </w:rPr>
        <w:t>u-64</w:t>
      </w:r>
      <w:r w:rsidRPr="00070D80">
        <w:rPr>
          <w:rFonts w:eastAsiaTheme="minorEastAsia"/>
          <w:sz w:val="24"/>
          <w:szCs w:val="24"/>
          <w:lang w:eastAsia="zh-CN"/>
        </w:rPr>
        <w:t>, Cr</w:t>
      </w:r>
      <w:r w:rsidRPr="00070D80">
        <w:rPr>
          <w:rFonts w:eastAsiaTheme="minorEastAsia" w:hint="eastAsia"/>
          <w:sz w:val="24"/>
          <w:szCs w:val="24"/>
          <w:lang w:eastAsia="zh-CN"/>
        </w:rPr>
        <w:t>-51</w:t>
      </w:r>
      <w:r w:rsidRPr="00070D80">
        <w:rPr>
          <w:rFonts w:eastAsiaTheme="minorEastAsia"/>
          <w:sz w:val="24"/>
          <w:szCs w:val="24"/>
          <w:lang w:eastAsia="zh-CN"/>
        </w:rPr>
        <w:t>, and Fe</w:t>
      </w:r>
      <w:r w:rsidRPr="00070D80">
        <w:rPr>
          <w:rFonts w:eastAsiaTheme="minorEastAsia" w:hint="eastAsia"/>
          <w:sz w:val="24"/>
          <w:szCs w:val="24"/>
          <w:lang w:eastAsia="zh-CN"/>
        </w:rPr>
        <w:t>-55</w:t>
      </w:r>
      <w:r w:rsidRPr="00070D80">
        <w:rPr>
          <w:rFonts w:eastAsiaTheme="minorEastAsia"/>
          <w:sz w:val="24"/>
          <w:szCs w:val="24"/>
          <w:lang w:eastAsia="zh-CN"/>
        </w:rPr>
        <w:t xml:space="preserve"> prevail; at later cooling times, long</w:t>
      </w:r>
      <w:r w:rsidRPr="00070D80">
        <w:rPr>
          <w:rFonts w:eastAsiaTheme="minorEastAsia"/>
          <w:sz w:val="24"/>
          <w:szCs w:val="24"/>
          <w:lang w:eastAsia="zh-CN"/>
        </w:rPr>
        <w:noBreakHyphen/>
        <w:t>lived nuclides such as Ni</w:t>
      </w:r>
      <w:r w:rsidRPr="00070D80">
        <w:rPr>
          <w:rFonts w:eastAsiaTheme="minorEastAsia" w:hint="eastAsia"/>
          <w:sz w:val="24"/>
          <w:szCs w:val="24"/>
          <w:lang w:eastAsia="zh-CN"/>
        </w:rPr>
        <w:t>-63</w:t>
      </w:r>
      <w:r w:rsidRPr="00070D80">
        <w:rPr>
          <w:rFonts w:eastAsiaTheme="minorEastAsia"/>
          <w:sz w:val="24"/>
          <w:szCs w:val="24"/>
          <w:lang w:eastAsia="zh-CN"/>
        </w:rPr>
        <w:t>, Fe</w:t>
      </w:r>
      <w:r w:rsidRPr="00070D80">
        <w:rPr>
          <w:rFonts w:eastAsiaTheme="minorEastAsia" w:hint="eastAsia"/>
          <w:sz w:val="24"/>
          <w:szCs w:val="24"/>
          <w:lang w:eastAsia="zh-CN"/>
        </w:rPr>
        <w:t>-55</w:t>
      </w:r>
      <w:r w:rsidRPr="00070D80">
        <w:rPr>
          <w:rFonts w:eastAsiaTheme="minorEastAsia"/>
          <w:sz w:val="24"/>
          <w:szCs w:val="24"/>
          <w:lang w:eastAsia="zh-CN"/>
        </w:rPr>
        <w:t>, and Co</w:t>
      </w:r>
      <w:r w:rsidRPr="00070D80">
        <w:rPr>
          <w:rFonts w:eastAsiaTheme="minorEastAsia" w:hint="eastAsia"/>
          <w:sz w:val="24"/>
          <w:szCs w:val="24"/>
          <w:lang w:eastAsia="zh-CN"/>
        </w:rPr>
        <w:t>-60</w:t>
      </w:r>
      <w:r w:rsidRPr="00070D80">
        <w:rPr>
          <w:rFonts w:eastAsiaTheme="minorEastAsia"/>
          <w:sz w:val="24"/>
          <w:szCs w:val="24"/>
          <w:lang w:eastAsia="zh-CN"/>
        </w:rPr>
        <w:t xml:space="preserve"> become dominant. This work provides a quantitative basis for source term control and personnel protection in fusion reactors.</w:t>
      </w:r>
    </w:p>
    <w:p w14:paraId="1DD33AC9" w14:textId="77777777" w:rsidR="00004BA9" w:rsidRDefault="00004BA9">
      <w:pPr>
        <w:jc w:val="both"/>
        <w:rPr>
          <w:rFonts w:eastAsiaTheme="minorEastAsia"/>
          <w:sz w:val="24"/>
          <w:lang w:eastAsia="zh-CN"/>
        </w:rPr>
      </w:pPr>
    </w:p>
    <w:p w14:paraId="7831260C" w14:textId="77777777" w:rsidR="00004BA9" w:rsidRDefault="00004BA9">
      <w:pPr>
        <w:jc w:val="both"/>
        <w:rPr>
          <w:rFonts w:eastAsiaTheme="minorEastAsia"/>
          <w:sz w:val="24"/>
          <w:lang w:eastAsia="zh-CN"/>
        </w:rPr>
      </w:pPr>
    </w:p>
    <w:p w14:paraId="20CEB653" w14:textId="77777777" w:rsidR="00004BA9" w:rsidRDefault="00004BA9">
      <w:pPr>
        <w:jc w:val="both"/>
        <w:rPr>
          <w:rFonts w:eastAsiaTheme="minorEastAsia"/>
          <w:sz w:val="24"/>
          <w:lang w:eastAsia="zh-CN"/>
        </w:rPr>
      </w:pPr>
    </w:p>
    <w:p w14:paraId="0E58296F" w14:textId="77777777" w:rsidR="00004BA9" w:rsidRDefault="00004BA9">
      <w:pPr>
        <w:jc w:val="both"/>
        <w:rPr>
          <w:sz w:val="24"/>
        </w:rPr>
      </w:pPr>
    </w:p>
    <w:p w14:paraId="0A719975" w14:textId="77777777" w:rsidR="00004BA9" w:rsidRDefault="00004BA9">
      <w:pPr>
        <w:jc w:val="both"/>
        <w:rPr>
          <w:sz w:val="24"/>
        </w:rPr>
      </w:pPr>
    </w:p>
    <w:tbl>
      <w:tblPr>
        <w:tblStyle w:val="a9"/>
        <w:tblW w:w="0" w:type="auto"/>
        <w:jc w:val="center"/>
        <w:tblLook w:val="04A0" w:firstRow="1" w:lastRow="0" w:firstColumn="1" w:lastColumn="0" w:noHBand="0" w:noVBand="1"/>
      </w:tblPr>
      <w:tblGrid>
        <w:gridCol w:w="2547"/>
        <w:gridCol w:w="2835"/>
      </w:tblGrid>
      <w:tr w:rsidR="00004BA9" w14:paraId="6AA624F1" w14:textId="77777777">
        <w:trPr>
          <w:jc w:val="center"/>
        </w:trPr>
        <w:tc>
          <w:tcPr>
            <w:tcW w:w="2547" w:type="dxa"/>
            <w:vMerge w:val="restart"/>
          </w:tcPr>
          <w:p w14:paraId="2B232C56" w14:textId="77777777" w:rsidR="00004BA9" w:rsidRDefault="00000000">
            <w:pPr>
              <w:rPr>
                <w:iCs/>
                <w:sz w:val="24"/>
              </w:rPr>
            </w:pPr>
            <w:r>
              <w:rPr>
                <w:iCs/>
                <w:sz w:val="24"/>
              </w:rPr>
              <w:t>Type of contribution:</w:t>
            </w:r>
          </w:p>
        </w:tc>
        <w:tc>
          <w:tcPr>
            <w:tcW w:w="2835" w:type="dxa"/>
          </w:tcPr>
          <w:p w14:paraId="7F689842" w14:textId="77777777" w:rsidR="00004BA9" w:rsidRDefault="00000000">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Pr>
                    <w:rFonts w:ascii="MS Gothic" w:eastAsia="MS Gothic" w:hAnsi="MS Gothic" w:hint="eastAsia"/>
                    <w:b/>
                    <w:bCs/>
                    <w:iCs/>
                    <w:sz w:val="24"/>
                  </w:rPr>
                  <w:t>☐</w:t>
                </w:r>
              </w:sdtContent>
            </w:sdt>
            <w:r>
              <w:rPr>
                <w:iCs/>
                <w:sz w:val="24"/>
              </w:rPr>
              <w:t xml:space="preserve"> </w:t>
            </w:r>
          </w:p>
        </w:tc>
      </w:tr>
      <w:tr w:rsidR="00004BA9" w14:paraId="153A603A" w14:textId="77777777">
        <w:trPr>
          <w:jc w:val="center"/>
        </w:trPr>
        <w:tc>
          <w:tcPr>
            <w:tcW w:w="2547" w:type="dxa"/>
            <w:vMerge/>
          </w:tcPr>
          <w:p w14:paraId="02E43341" w14:textId="77777777" w:rsidR="00004BA9" w:rsidRDefault="00004BA9">
            <w:pPr>
              <w:rPr>
                <w:iCs/>
                <w:sz w:val="24"/>
              </w:rPr>
            </w:pPr>
          </w:p>
        </w:tc>
        <w:tc>
          <w:tcPr>
            <w:tcW w:w="2835" w:type="dxa"/>
          </w:tcPr>
          <w:p w14:paraId="078F0834" w14:textId="77777777" w:rsidR="00004BA9" w:rsidRDefault="00000000">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Pr>
                    <w:rFonts w:ascii="MS Gothic" w:eastAsia="MS Gothic" w:hAnsi="MS Gothic" w:hint="eastAsia"/>
                    <w:b/>
                    <w:bCs/>
                    <w:iCs/>
                    <w:sz w:val="24"/>
                  </w:rPr>
                  <w:t>☒</w:t>
                </w:r>
              </w:sdtContent>
            </w:sdt>
          </w:p>
        </w:tc>
      </w:tr>
    </w:tbl>
    <w:p w14:paraId="795E0053" w14:textId="77777777" w:rsidR="00004BA9" w:rsidRDefault="00004BA9">
      <w:pPr>
        <w:jc w:val="both"/>
        <w:rPr>
          <w:sz w:val="24"/>
        </w:rPr>
      </w:pPr>
    </w:p>
    <w:p w14:paraId="00AC0AC3" w14:textId="77777777" w:rsidR="00004BA9" w:rsidRDefault="00004BA9">
      <w:pPr>
        <w:jc w:val="both"/>
        <w:rPr>
          <w:rFonts w:ascii="宋体" w:eastAsia="宋体" w:hAnsi="宋体" w:hint="eastAsia"/>
          <w:color w:val="EE0000"/>
          <w:sz w:val="24"/>
          <w:lang w:eastAsia="zh-CN"/>
        </w:rPr>
      </w:pPr>
    </w:p>
    <w:sectPr w:rsidR="00004B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80AF" w14:textId="77777777" w:rsidR="00E138A2" w:rsidRDefault="00E138A2">
      <w:r>
        <w:separator/>
      </w:r>
    </w:p>
  </w:endnote>
  <w:endnote w:type="continuationSeparator" w:id="0">
    <w:p w14:paraId="6C47757D" w14:textId="77777777" w:rsidR="00E138A2" w:rsidRDefault="00E1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004BA9" w:rsidRDefault="00004BA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004BA9" w:rsidRDefault="00004BA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004BA9" w:rsidRDefault="00004B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E460" w14:textId="77777777" w:rsidR="00E138A2" w:rsidRDefault="00E138A2">
      <w:r>
        <w:separator/>
      </w:r>
    </w:p>
  </w:footnote>
  <w:footnote w:type="continuationSeparator" w:id="0">
    <w:p w14:paraId="546E124A" w14:textId="77777777" w:rsidR="00E138A2" w:rsidRDefault="00E1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004BA9" w:rsidRDefault="00004B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004BA9" w:rsidRDefault="00004B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004BA9" w:rsidRDefault="00004B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04BA9"/>
    <w:rsid w:val="00070D80"/>
    <w:rsid w:val="000942B0"/>
    <w:rsid w:val="00096AB2"/>
    <w:rsid w:val="000C1E8B"/>
    <w:rsid w:val="00116EEE"/>
    <w:rsid w:val="001A7DE8"/>
    <w:rsid w:val="001C2E1D"/>
    <w:rsid w:val="002C752D"/>
    <w:rsid w:val="002D07B6"/>
    <w:rsid w:val="003A5565"/>
    <w:rsid w:val="003D5CEF"/>
    <w:rsid w:val="004A73A3"/>
    <w:rsid w:val="00553659"/>
    <w:rsid w:val="00562297"/>
    <w:rsid w:val="00583E2C"/>
    <w:rsid w:val="005B441E"/>
    <w:rsid w:val="005D14AD"/>
    <w:rsid w:val="00636B4E"/>
    <w:rsid w:val="00692053"/>
    <w:rsid w:val="00724EE4"/>
    <w:rsid w:val="007405EF"/>
    <w:rsid w:val="007921F1"/>
    <w:rsid w:val="007A67E8"/>
    <w:rsid w:val="007B29CD"/>
    <w:rsid w:val="0080146D"/>
    <w:rsid w:val="00805BCC"/>
    <w:rsid w:val="00807A54"/>
    <w:rsid w:val="0085430E"/>
    <w:rsid w:val="00866E67"/>
    <w:rsid w:val="009078FB"/>
    <w:rsid w:val="009737D6"/>
    <w:rsid w:val="009F5015"/>
    <w:rsid w:val="009F5E2B"/>
    <w:rsid w:val="00A31997"/>
    <w:rsid w:val="00A84D73"/>
    <w:rsid w:val="00AD0DE3"/>
    <w:rsid w:val="00B41F88"/>
    <w:rsid w:val="00B74092"/>
    <w:rsid w:val="00B749E8"/>
    <w:rsid w:val="00B83222"/>
    <w:rsid w:val="00D52D69"/>
    <w:rsid w:val="00D65FB7"/>
    <w:rsid w:val="00DB3E36"/>
    <w:rsid w:val="00E007B3"/>
    <w:rsid w:val="00E138A2"/>
    <w:rsid w:val="00E265F3"/>
    <w:rsid w:val="00E716CB"/>
    <w:rsid w:val="00E80D81"/>
    <w:rsid w:val="00E8630A"/>
    <w:rsid w:val="00F31B0C"/>
    <w:rsid w:val="00F61760"/>
    <w:rsid w:val="00FC6CD5"/>
    <w:rsid w:val="4E9F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E8A556-E9F0-466F-93D9-AAB97381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eastAsia="ja-JP"/>
    </w:rPr>
  </w:style>
  <w:style w:type="paragraph" w:styleId="1">
    <w:name w:val="heading 1"/>
    <w:basedOn w:val="a"/>
    <w:next w:val="a"/>
    <w:link w:val="10"/>
    <w:uiPriority w:val="9"/>
    <w:qFormat/>
    <w:pPr>
      <w:keepNext/>
      <w:keepLines/>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80"/>
        <w:tab w:val="right" w:pos="9360"/>
      </w:tabs>
    </w:pPr>
  </w:style>
  <w:style w:type="paragraph" w:styleId="a5">
    <w:name w:val="header"/>
    <w:basedOn w:val="a"/>
    <w:link w:val="a6"/>
    <w:uiPriority w:val="99"/>
    <w:unhideWhenUsed/>
    <w:qFormat/>
    <w:pPr>
      <w:tabs>
        <w:tab w:val="center" w:pos="4680"/>
        <w:tab w:val="right" w:pos="9360"/>
      </w:tabs>
    </w:pPr>
  </w:style>
  <w:style w:type="paragraph" w:styleId="a7">
    <w:name w:val="Title"/>
    <w:basedOn w:val="a"/>
    <w:next w:val="a"/>
    <w:link w:val="a8"/>
    <w:uiPriority w:val="10"/>
    <w:qFormat/>
    <w:pPr>
      <w:contextualSpacing/>
    </w:pPr>
    <w:rPr>
      <w:rFonts w:ascii="Calibri Light" w:hAnsi="Calibri Light"/>
      <w:spacing w:val="-10"/>
      <w:kern w:val="28"/>
      <w:sz w:val="56"/>
      <w:szCs w:val="56"/>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qFormat/>
    <w:rPr>
      <w:color w:val="0000FF"/>
      <w:u w:val="single"/>
    </w:rPr>
  </w:style>
  <w:style w:type="paragraph" w:customStyle="1" w:styleId="Paragraph">
    <w:name w:val="Paragraph"/>
    <w:basedOn w:val="a"/>
    <w:qFormat/>
    <w:pPr>
      <w:ind w:firstLine="360"/>
    </w:pPr>
  </w:style>
  <w:style w:type="character" w:customStyle="1" w:styleId="a6">
    <w:name w:val="页眉 字符"/>
    <w:link w:val="a5"/>
    <w:uiPriority w:val="99"/>
    <w:rPr>
      <w:rFonts w:ascii="Times New Roman" w:eastAsia="Times New Roman" w:hAnsi="Times New Roman" w:cs="Times New Roman"/>
      <w:sz w:val="20"/>
      <w:szCs w:val="20"/>
      <w:lang w:eastAsia="ja-JP"/>
    </w:rPr>
  </w:style>
  <w:style w:type="character" w:customStyle="1" w:styleId="a4">
    <w:name w:val="页脚 字符"/>
    <w:link w:val="a3"/>
    <w:uiPriority w:val="99"/>
    <w:rPr>
      <w:rFonts w:ascii="Times New Roman" w:eastAsia="Times New Roman" w:hAnsi="Times New Roman" w:cs="Times New Roman"/>
      <w:sz w:val="20"/>
      <w:szCs w:val="20"/>
      <w:lang w:eastAsia="ja-JP"/>
    </w:rPr>
  </w:style>
  <w:style w:type="character" w:customStyle="1" w:styleId="a8">
    <w:name w:val="标题 字符"/>
    <w:link w:val="a7"/>
    <w:uiPriority w:val="10"/>
    <w:qFormat/>
    <w:rPr>
      <w:rFonts w:ascii="Calibri Light" w:eastAsia="Times New Roman" w:hAnsi="Calibri Light" w:cs="Times New Roman"/>
      <w:spacing w:val="-10"/>
      <w:kern w:val="28"/>
      <w:sz w:val="56"/>
      <w:szCs w:val="56"/>
      <w:lang w:eastAsia="ja-JP"/>
    </w:rPr>
  </w:style>
  <w:style w:type="character" w:customStyle="1" w:styleId="10">
    <w:name w:val="标题 1 字符"/>
    <w:link w:val="1"/>
    <w:uiPriority w:val="9"/>
    <w:rPr>
      <w:rFonts w:ascii="Calibri Light" w:eastAsia="Times New Roman" w:hAnsi="Calibri Light" w:cs="Times New Roman"/>
      <w:color w:val="2E74B5"/>
      <w:sz w:val="32"/>
      <w:szCs w:val="32"/>
      <w:lang w:eastAsia="ja-JP"/>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3.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1594</Characters>
  <Application>Microsoft Office Word</Application>
  <DocSecurity>0</DocSecurity>
  <Lines>39</Lines>
  <Paragraphs>13</Paragraphs>
  <ScaleCrop>false</ScaleCrop>
  <Company>LANL DCS-CSD</Company>
  <LinksUpToDate>false</LinksUpToDate>
  <CharactersWithSpaces>1853</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lastModifiedBy>晨 杨</cp:lastModifiedBy>
  <cp:revision>21</cp:revision>
  <dcterms:created xsi:type="dcterms:W3CDTF">2021-04-12T23:49:00Z</dcterms:created>
  <dcterms:modified xsi:type="dcterms:W3CDTF">2026-04-09T08:23:00Z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y fmtid="{D5CDD505-2E9C-101B-9397-08002B2CF9AE}" pid="3" name="KSOTemplateDocerSaveRecord">
    <vt:lpwstr>eyJoZGlkIjoiNmZlN2Y3NjllMzg4NzAxNGM0OTRmZDg3YWY5YjE4OTEiLCJ1c2VySWQiOiI0MTcyNjcxNTAifQ==</vt:lpwstr>
  </property>
  <property fmtid="{D5CDD505-2E9C-101B-9397-08002B2CF9AE}" pid="4" name="KSOProductBuildVer">
    <vt:lpwstr>2052-12.1.0.25225</vt:lpwstr>
  </property>
  <property fmtid="{D5CDD505-2E9C-101B-9397-08002B2CF9AE}" pid="5" name="ICV">
    <vt:lpwstr>5AE86616DC754FC8969261D0390C6870_12</vt:lpwstr>
  </property>
</Properties>
</file>