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A7F8" w14:textId="366FFD6B" w:rsidR="003E41C9" w:rsidRDefault="00840CEF" w:rsidP="00DB3E36">
      <w:pPr>
        <w:jc w:val="center"/>
        <w:rPr>
          <w:b/>
          <w:sz w:val="28"/>
          <w:szCs w:val="24"/>
        </w:rPr>
      </w:pPr>
      <w:r w:rsidRPr="00840CEF">
        <w:rPr>
          <w:b/>
          <w:sz w:val="28"/>
          <w:szCs w:val="24"/>
        </w:rPr>
        <w:t xml:space="preserve">Evaluation of Shutdown Dose Rate </w:t>
      </w:r>
      <w:r w:rsidR="003E41C9">
        <w:rPr>
          <w:b/>
          <w:sz w:val="28"/>
          <w:szCs w:val="24"/>
        </w:rPr>
        <w:t>at</w:t>
      </w:r>
      <w:r w:rsidRPr="00840CEF">
        <w:rPr>
          <w:b/>
          <w:sz w:val="28"/>
          <w:szCs w:val="24"/>
        </w:rPr>
        <w:t xml:space="preserve"> </w:t>
      </w:r>
      <w:r w:rsidR="003E41C9">
        <w:rPr>
          <w:b/>
          <w:sz w:val="28"/>
          <w:szCs w:val="24"/>
        </w:rPr>
        <w:t>JET after the</w:t>
      </w:r>
      <w:r w:rsidRPr="00840CEF">
        <w:rPr>
          <w:b/>
          <w:sz w:val="28"/>
          <w:szCs w:val="24"/>
        </w:rPr>
        <w:t xml:space="preserve"> </w:t>
      </w:r>
      <w:r w:rsidR="003E41C9">
        <w:rPr>
          <w:b/>
          <w:sz w:val="28"/>
          <w:szCs w:val="24"/>
        </w:rPr>
        <w:t>second</w:t>
      </w:r>
      <w:r w:rsidRPr="00840CEF">
        <w:rPr>
          <w:b/>
          <w:sz w:val="28"/>
          <w:szCs w:val="24"/>
        </w:rPr>
        <w:t xml:space="preserve"> </w:t>
      </w:r>
    </w:p>
    <w:p w14:paraId="0967075F" w14:textId="50926BB4" w:rsidR="003E41C9" w:rsidRDefault="00840CEF" w:rsidP="00DB3E36">
      <w:pPr>
        <w:jc w:val="center"/>
        <w:rPr>
          <w:b/>
          <w:sz w:val="28"/>
          <w:szCs w:val="24"/>
        </w:rPr>
      </w:pPr>
      <w:r w:rsidRPr="00840CEF">
        <w:rPr>
          <w:b/>
          <w:sz w:val="28"/>
          <w:szCs w:val="24"/>
        </w:rPr>
        <w:t>Deuterium–Tritium Campaign</w:t>
      </w:r>
    </w:p>
    <w:p w14:paraId="178CECA2" w14:textId="4AE768A3" w:rsidR="00DB3E36" w:rsidRPr="00085FC9" w:rsidRDefault="008F764B" w:rsidP="00DB3E36">
      <w:pPr>
        <w:jc w:val="center"/>
        <w:rPr>
          <w:sz w:val="24"/>
        </w:rPr>
      </w:pPr>
      <w:r w:rsidRPr="008F764B">
        <w:rPr>
          <w:sz w:val="24"/>
        </w:rPr>
        <w:t xml:space="preserve">Ylenia </w:t>
      </w:r>
      <w:proofErr w:type="spellStart"/>
      <w:r w:rsidRPr="008F764B">
        <w:rPr>
          <w:sz w:val="24"/>
        </w:rPr>
        <w:t>Kogovšek</w:t>
      </w:r>
      <w:proofErr w:type="spellEnd"/>
      <w:r w:rsidRPr="008F764B">
        <w:rPr>
          <w:sz w:val="24"/>
        </w:rPr>
        <w:t xml:space="preserve"> Žiber</w:t>
      </w:r>
      <w:r w:rsidRPr="00085FC9">
        <w:rPr>
          <w:sz w:val="24"/>
          <w:vertAlign w:val="superscript"/>
        </w:rPr>
        <w:t>1</w:t>
      </w:r>
      <w:r w:rsidR="00513D7B">
        <w:rPr>
          <w:sz w:val="24"/>
          <w:vertAlign w:val="superscript"/>
        </w:rPr>
        <w:t>,2</w:t>
      </w:r>
      <w:r w:rsidR="00DB3E36">
        <w:rPr>
          <w:sz w:val="24"/>
        </w:rPr>
        <w:t xml:space="preserve">, </w:t>
      </w:r>
      <w:r w:rsidRPr="008F764B">
        <w:rPr>
          <w:sz w:val="24"/>
        </w:rPr>
        <w:t>Klemen Ambrožič</w:t>
      </w:r>
      <w:r w:rsidR="00513D7B">
        <w:rPr>
          <w:sz w:val="24"/>
          <w:vertAlign w:val="superscript"/>
        </w:rPr>
        <w:t>1,2</w:t>
      </w:r>
      <w:r w:rsidR="00DB3E36">
        <w:rPr>
          <w:sz w:val="24"/>
        </w:rPr>
        <w:t xml:space="preserve">, </w:t>
      </w:r>
      <w:r w:rsidRPr="008F764B">
        <w:rPr>
          <w:sz w:val="24"/>
        </w:rPr>
        <w:t>Rosaria Villari</w:t>
      </w:r>
      <w:r w:rsidRPr="008F764B">
        <w:rPr>
          <w:sz w:val="24"/>
          <w:vertAlign w:val="superscript"/>
        </w:rPr>
        <w:t>3</w:t>
      </w:r>
      <w:r>
        <w:rPr>
          <w:sz w:val="24"/>
        </w:rPr>
        <w:t xml:space="preserve">, </w:t>
      </w:r>
      <w:r w:rsidR="00D41818">
        <w:rPr>
          <w:sz w:val="24"/>
        </w:rPr>
        <w:t>Nicola Fo</w:t>
      </w:r>
      <w:r w:rsidR="008D2942">
        <w:rPr>
          <w:sz w:val="24"/>
        </w:rPr>
        <w:t>n</w:t>
      </w:r>
      <w:r w:rsidR="00D41818">
        <w:rPr>
          <w:sz w:val="24"/>
        </w:rPr>
        <w:t>nesu</w:t>
      </w:r>
      <w:r w:rsidR="008754EA">
        <w:rPr>
          <w:sz w:val="24"/>
          <w:vertAlign w:val="superscript"/>
        </w:rPr>
        <w:t>3</w:t>
      </w:r>
      <w:r w:rsidR="00D41818">
        <w:rPr>
          <w:sz w:val="24"/>
        </w:rPr>
        <w:t xml:space="preserve"> </w:t>
      </w:r>
      <w:r w:rsidRPr="008F764B">
        <w:rPr>
          <w:sz w:val="24"/>
        </w:rPr>
        <w:t>and JET Contributors</w:t>
      </w:r>
      <w:r w:rsidRPr="00513D7B">
        <w:rPr>
          <w:sz w:val="24"/>
          <w:vertAlign w:val="superscript"/>
        </w:rPr>
        <w:t>*</w:t>
      </w:r>
    </w:p>
    <w:p w14:paraId="145ED400" w14:textId="77777777" w:rsidR="00DB3E36" w:rsidRDefault="00DB3E36" w:rsidP="00DB3E36">
      <w:pPr>
        <w:rPr>
          <w:sz w:val="24"/>
        </w:rPr>
      </w:pPr>
    </w:p>
    <w:p w14:paraId="4ED59A8E" w14:textId="1322A031" w:rsidR="008F764B" w:rsidRDefault="00DB3E36" w:rsidP="00DB3E36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 w:rsidR="008F764B">
        <w:rPr>
          <w:i/>
          <w:sz w:val="24"/>
        </w:rPr>
        <w:t>Jož</w:t>
      </w:r>
      <w:r w:rsidR="008F764B" w:rsidRPr="008F764B">
        <w:rPr>
          <w:i/>
          <w:sz w:val="24"/>
        </w:rPr>
        <w:t xml:space="preserve">ef Stefan Institute, </w:t>
      </w:r>
      <w:proofErr w:type="spellStart"/>
      <w:r w:rsidR="008F764B" w:rsidRPr="008F764B">
        <w:rPr>
          <w:i/>
          <w:sz w:val="24"/>
        </w:rPr>
        <w:t>Jamova</w:t>
      </w:r>
      <w:proofErr w:type="spellEnd"/>
      <w:r w:rsidR="008F764B" w:rsidRPr="008F764B">
        <w:rPr>
          <w:i/>
          <w:sz w:val="24"/>
        </w:rPr>
        <w:t xml:space="preserve"> cesta 39,1000 Ljubljana, Slovenia </w:t>
      </w:r>
    </w:p>
    <w:p w14:paraId="0C4E5CE1" w14:textId="4B246956" w:rsidR="008F764B" w:rsidRDefault="00DB3E36" w:rsidP="008F764B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 w:rsidR="008F764B" w:rsidRPr="008F764B">
        <w:rPr>
          <w:i/>
          <w:sz w:val="24"/>
        </w:rPr>
        <w:t xml:space="preserve">Faculty of mathematics and physics, University of Ljubljana, </w:t>
      </w:r>
      <w:proofErr w:type="spellStart"/>
      <w:r w:rsidR="008F764B" w:rsidRPr="008F764B">
        <w:rPr>
          <w:i/>
          <w:sz w:val="24"/>
        </w:rPr>
        <w:t>Jadranska</w:t>
      </w:r>
      <w:proofErr w:type="spellEnd"/>
      <w:r w:rsidR="008F764B" w:rsidRPr="008F764B">
        <w:rPr>
          <w:i/>
          <w:sz w:val="24"/>
        </w:rPr>
        <w:t xml:space="preserve"> 19, Ljubljana, Slovenia </w:t>
      </w:r>
    </w:p>
    <w:p w14:paraId="10479AD4" w14:textId="420C21B2" w:rsidR="00D41818" w:rsidRDefault="0082129B" w:rsidP="008754EA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3</w:t>
      </w:r>
      <w:r w:rsidR="008F764B" w:rsidRPr="008F764B">
        <w:rPr>
          <w:i/>
          <w:sz w:val="24"/>
        </w:rPr>
        <w:t xml:space="preserve">ENEA </w:t>
      </w:r>
      <w:r w:rsidR="00D41818" w:rsidRPr="00D41818">
        <w:rPr>
          <w:i/>
          <w:sz w:val="24"/>
        </w:rPr>
        <w:t>Nuclear Department</w:t>
      </w:r>
      <w:r w:rsidR="00D41818">
        <w:rPr>
          <w:i/>
          <w:sz w:val="24"/>
        </w:rPr>
        <w:t xml:space="preserve">, </w:t>
      </w:r>
      <w:r w:rsidR="008F764B" w:rsidRPr="008F764B">
        <w:rPr>
          <w:i/>
          <w:sz w:val="24"/>
        </w:rPr>
        <w:t>via E. Fermi 45,44, Frascati (Rome), Italy</w:t>
      </w:r>
    </w:p>
    <w:p w14:paraId="4F0EC821" w14:textId="0520734F" w:rsidR="00513D7B" w:rsidRDefault="008F764B" w:rsidP="00513D7B">
      <w:pPr>
        <w:jc w:val="center"/>
        <w:rPr>
          <w:i/>
          <w:sz w:val="24"/>
        </w:rPr>
      </w:pPr>
      <w:r w:rsidRPr="008F764B">
        <w:rPr>
          <w:i/>
          <w:sz w:val="24"/>
        </w:rPr>
        <w:t>*See Maggi et al 2024 (https://doi.org/10.1088/1741-4326/ad3e16) for JET Contributors</w:t>
      </w:r>
    </w:p>
    <w:p w14:paraId="3A129630" w14:textId="28B929F8" w:rsidR="00E8630A" w:rsidRPr="007B71C0" w:rsidRDefault="00DB3E36" w:rsidP="007B71C0">
      <w:pPr>
        <w:jc w:val="center"/>
        <w:rPr>
          <w:iCs/>
          <w:sz w:val="24"/>
        </w:rPr>
      </w:pPr>
      <w:r>
        <w:rPr>
          <w:iCs/>
          <w:sz w:val="24"/>
        </w:rPr>
        <w:t xml:space="preserve">Corresponding Author Email: </w:t>
      </w:r>
      <w:hyperlink r:id="rId9" w:history="1">
        <w:r w:rsidR="00513D7B" w:rsidRPr="00A939E4">
          <w:rPr>
            <w:rStyle w:val="Hyperlink"/>
            <w:iCs/>
            <w:sz w:val="24"/>
          </w:rPr>
          <w:t>ylenia.ziber@ijs.si</w:t>
        </w:r>
      </w:hyperlink>
      <w:r w:rsidR="007B29CD">
        <w:rPr>
          <w:iCs/>
          <w:sz w:val="24"/>
        </w:rPr>
        <w:t xml:space="preserve">   </w:t>
      </w:r>
    </w:p>
    <w:p w14:paraId="35A67F47" w14:textId="2A77438D" w:rsidR="005A2AC1" w:rsidRDefault="005A2AC1" w:rsidP="005A2AC1">
      <w:pPr>
        <w:pStyle w:val="NormalWeb"/>
      </w:pPr>
      <w:r>
        <w:t>Accurate evaluation of shutdown dose rate</w:t>
      </w:r>
      <w:r w:rsidR="008754EA">
        <w:t xml:space="preserve"> (SDDR)</w:t>
      </w:r>
      <w:r>
        <w:t xml:space="preserve"> </w:t>
      </w:r>
      <w:r w:rsidR="00465D8F">
        <w:t>represents a key requirement in fusion reactor design and operation and is essential to ensure personnel safety throughout the entire lifetime of fusion facilities, in particular during maintenance and their decommissioning.</w:t>
      </w:r>
      <w:r w:rsidR="00465D8F" w:rsidDel="000944B2">
        <w:t xml:space="preserve"> </w:t>
      </w:r>
      <w:r w:rsidR="00465D8F">
        <w:t>SDDR tools have been developed for this purpose, among which</w:t>
      </w:r>
      <w:r w:rsidR="00465D8F">
        <w:t xml:space="preserve"> </w:t>
      </w:r>
      <w:r>
        <w:t>JSIR2S</w:t>
      </w:r>
      <w:r w:rsidR="00465D8F">
        <w:t xml:space="preserve">, </w:t>
      </w:r>
      <w:r>
        <w:t xml:space="preserve">developed at the </w:t>
      </w:r>
      <w:proofErr w:type="spellStart"/>
      <w:r>
        <w:t>Jožef</w:t>
      </w:r>
      <w:proofErr w:type="spellEnd"/>
      <w:r>
        <w:t xml:space="preserve"> Stefan Institute, implements the rigorous two-step</w:t>
      </w:r>
      <w:r w:rsidR="00990E8D">
        <w:t xml:space="preserve"> (R2S) </w:t>
      </w:r>
      <w:r>
        <w:t>methodology. In this approach, neutron transport simulations are first carried out using the Monte Carlo transport code MCNP, followed by activation and inventory calculations of irradiated materials</w:t>
      </w:r>
      <w:r w:rsidR="00990E8D">
        <w:t xml:space="preserve"> with FISPACT code</w:t>
      </w:r>
      <w:r w:rsidR="00465D8F">
        <w:t>, to produce the gamma source of the subsequent MCNP run</w:t>
      </w:r>
      <w:r>
        <w:t>. In the second step, photon transport calculations are performed to determine the resulting dose rates from radioactive decay.</w:t>
      </w:r>
    </w:p>
    <w:p w14:paraId="48EA9DF6" w14:textId="7072E26D" w:rsidR="00465D8F" w:rsidRDefault="005A2AC1" w:rsidP="00465D8F">
      <w:pPr>
        <w:pStyle w:val="NormalWeb"/>
      </w:pPr>
      <w:r>
        <w:t xml:space="preserve">The JSIR2S code has previously been benchmarked against experimental data from the TRIGA research reactor, and the present study extends its validation to fusion-relevant conditions using </w:t>
      </w:r>
      <w:r w:rsidR="00465D8F">
        <w:t xml:space="preserve">SDDR measurements </w:t>
      </w:r>
      <w:r w:rsidR="00465D8F">
        <w:t>after the second deuterium-tritium campaign (DTE2</w:t>
      </w:r>
      <w:r w:rsidR="00465D8F">
        <w:t>) at JET</w:t>
      </w:r>
      <w:r>
        <w:t xml:space="preserve">. The calculated </w:t>
      </w:r>
      <w:r w:rsidR="00465D8F">
        <w:t>SDDR</w:t>
      </w:r>
      <w:r>
        <w:t xml:space="preserve"> </w:t>
      </w:r>
      <w:r w:rsidR="00465D8F">
        <w:t xml:space="preserve">is </w:t>
      </w:r>
      <w:r w:rsidR="00465D8F">
        <w:t>compared against some selected experimental measurement points and against the predictions of the other computational tools involved in the same benchmark campaign, thus enabling a comprehensive assessment and critical comparison of the methodology and of the specific tool.</w:t>
      </w:r>
      <w:r w:rsidR="00465D8F">
        <w:t xml:space="preserve"> </w:t>
      </w:r>
      <w:r w:rsidR="00465D8F">
        <w:t>SDDR calculations at JET following DTE2 are presented in this work with the primary objective of validating the computational predictions of JSIR2S in a fusion-relevant environment as JET.</w:t>
      </w:r>
    </w:p>
    <w:p w14:paraId="261AE165" w14:textId="41279238" w:rsidR="0034259C" w:rsidRDefault="00C91DA6" w:rsidP="00DB3E36">
      <w:pPr>
        <w:jc w:val="both"/>
        <w:rPr>
          <w:sz w:val="24"/>
          <w:szCs w:val="24"/>
          <w:lang w:val="en-GB" w:eastAsia="en-GB"/>
        </w:rPr>
      </w:pPr>
      <w:r w:rsidRPr="00C91DA6">
        <w:rPr>
          <w:sz w:val="24"/>
          <w:szCs w:val="24"/>
          <w:lang w:val="en-GB" w:eastAsia="en-GB"/>
        </w:rPr>
        <w:t>The comparison shows good agreement between calculated and measured values over the considered cooling times, up to 29 days after shutdown. For the last set of pulses of the campaign, C/E values for ionisation chambers in Octant 1 range between (0.</w:t>
      </w:r>
      <w:r w:rsidR="0086140A">
        <w:rPr>
          <w:sz w:val="24"/>
          <w:szCs w:val="24"/>
          <w:lang w:val="en-GB" w:eastAsia="en-GB"/>
        </w:rPr>
        <w:t>75</w:t>
      </w:r>
      <w:r w:rsidRPr="00C91DA6">
        <w:rPr>
          <w:sz w:val="24"/>
          <w:szCs w:val="24"/>
          <w:lang w:val="en-GB" w:eastAsia="en-GB"/>
        </w:rPr>
        <w:t xml:space="preserve"> ± 0.0</w:t>
      </w:r>
      <w:r w:rsidR="0086140A">
        <w:rPr>
          <w:sz w:val="24"/>
          <w:szCs w:val="24"/>
          <w:lang w:val="en-GB" w:eastAsia="en-GB"/>
        </w:rPr>
        <w:t>8</w:t>
      </w:r>
      <w:r w:rsidRPr="00C91DA6">
        <w:rPr>
          <w:sz w:val="24"/>
          <w:szCs w:val="24"/>
          <w:lang w:val="en-GB" w:eastAsia="en-GB"/>
        </w:rPr>
        <w:t>) and (1.</w:t>
      </w:r>
      <w:r w:rsidR="0086140A">
        <w:rPr>
          <w:sz w:val="24"/>
          <w:szCs w:val="24"/>
          <w:lang w:val="en-GB" w:eastAsia="en-GB"/>
        </w:rPr>
        <w:t>36</w:t>
      </w:r>
      <w:r w:rsidRPr="00C91DA6">
        <w:rPr>
          <w:sz w:val="24"/>
          <w:szCs w:val="24"/>
          <w:lang w:val="en-GB" w:eastAsia="en-GB"/>
        </w:rPr>
        <w:t xml:space="preserve"> ± 0.0</w:t>
      </w:r>
      <w:r w:rsidR="0086140A">
        <w:rPr>
          <w:sz w:val="24"/>
          <w:szCs w:val="24"/>
          <w:lang w:val="en-GB" w:eastAsia="en-GB"/>
        </w:rPr>
        <w:t>7</w:t>
      </w:r>
      <w:r w:rsidRPr="00C91DA6">
        <w:rPr>
          <w:sz w:val="24"/>
          <w:szCs w:val="24"/>
          <w:lang w:val="en-GB" w:eastAsia="en-GB"/>
        </w:rPr>
        <w:t>). In Octant 2, lower agreement is observed, with C/E values around (0.</w:t>
      </w:r>
      <w:r w:rsidR="0006182E">
        <w:rPr>
          <w:sz w:val="24"/>
          <w:szCs w:val="24"/>
          <w:lang w:val="en-GB" w:eastAsia="en-GB"/>
        </w:rPr>
        <w:t>1</w:t>
      </w:r>
      <w:r w:rsidR="0086140A">
        <w:rPr>
          <w:sz w:val="24"/>
          <w:szCs w:val="24"/>
          <w:lang w:val="en-GB" w:eastAsia="en-GB"/>
        </w:rPr>
        <w:t>1</w:t>
      </w:r>
      <w:r w:rsidRPr="00C91DA6">
        <w:rPr>
          <w:sz w:val="24"/>
          <w:szCs w:val="24"/>
          <w:lang w:val="en-GB" w:eastAsia="en-GB"/>
        </w:rPr>
        <w:t xml:space="preserve"> ± 0.01). </w:t>
      </w:r>
      <w:r w:rsidR="0006182E" w:rsidRPr="0006182E">
        <w:rPr>
          <w:sz w:val="24"/>
          <w:szCs w:val="24"/>
          <w:lang w:val="en-GB" w:eastAsia="en-GB"/>
        </w:rPr>
        <w:t xml:space="preserve">For Octant 1, the C/E values are comparable to those obtained with the Advanced D1S method, whereas for Octant 2 the Advanced D1S shows better agreement with experimental data. </w:t>
      </w:r>
    </w:p>
    <w:p w14:paraId="39CF5769" w14:textId="77777777" w:rsidR="0034259C" w:rsidRDefault="0034259C" w:rsidP="00DB3E36">
      <w:pPr>
        <w:jc w:val="both"/>
        <w:rPr>
          <w:sz w:val="24"/>
          <w:szCs w:val="24"/>
          <w:lang w:val="en-GB" w:eastAsia="en-GB"/>
        </w:rPr>
      </w:pPr>
    </w:p>
    <w:p w14:paraId="1F1FA641" w14:textId="026567F0" w:rsidR="00096AB2" w:rsidRDefault="0006182E" w:rsidP="00DB3E36">
      <w:pPr>
        <w:jc w:val="both"/>
        <w:rPr>
          <w:sz w:val="24"/>
        </w:rPr>
      </w:pPr>
      <w:r w:rsidRPr="0006182E">
        <w:rPr>
          <w:sz w:val="24"/>
          <w:szCs w:val="24"/>
          <w:lang w:val="en-GB" w:eastAsia="en-GB"/>
        </w:rPr>
        <w:t xml:space="preserve">These results indicate that the applied approach </w:t>
      </w:r>
      <w:r w:rsidR="0034259C">
        <w:rPr>
          <w:sz w:val="24"/>
          <w:szCs w:val="24"/>
          <w:lang w:val="en-GB" w:eastAsia="en-GB"/>
        </w:rPr>
        <w:t xml:space="preserve">with the JSIR2S code </w:t>
      </w:r>
      <w:r w:rsidRPr="0006182E">
        <w:rPr>
          <w:sz w:val="24"/>
          <w:szCs w:val="24"/>
          <w:lang w:val="en-GB" w:eastAsia="en-GB"/>
        </w:rPr>
        <w:t xml:space="preserve">provides generally reliable predictions of </w:t>
      </w:r>
      <w:r w:rsidR="008754EA">
        <w:rPr>
          <w:sz w:val="24"/>
          <w:szCs w:val="24"/>
          <w:lang w:val="en-GB" w:eastAsia="en-GB"/>
        </w:rPr>
        <w:t>SDDR</w:t>
      </w:r>
      <w:r w:rsidRPr="0006182E">
        <w:rPr>
          <w:sz w:val="24"/>
          <w:szCs w:val="24"/>
          <w:lang w:val="en-GB" w:eastAsia="en-GB"/>
        </w:rPr>
        <w:t xml:space="preserve"> in fusion environments, although the observed discrepancies warrant further investigation</w:t>
      </w:r>
      <w:r w:rsidR="0082129B">
        <w:rPr>
          <w:sz w:val="24"/>
          <w:szCs w:val="24"/>
          <w:lang w:val="en-GB" w:eastAsia="en-GB"/>
        </w:rPr>
        <w:t>.</w:t>
      </w:r>
    </w:p>
    <w:p w14:paraId="0A719975" w14:textId="59C5AD78" w:rsidR="00096AB2" w:rsidRDefault="00096AB2" w:rsidP="00DB3E36">
      <w:pPr>
        <w:jc w:val="both"/>
        <w:rPr>
          <w:sz w:val="24"/>
        </w:rPr>
      </w:pPr>
    </w:p>
    <w:p w14:paraId="0F9CB315" w14:textId="77777777" w:rsidR="005A2AC1" w:rsidRDefault="005A2AC1" w:rsidP="00DB3E36">
      <w:pPr>
        <w:jc w:val="both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835"/>
      </w:tblGrid>
      <w:tr w:rsidR="00096AB2" w14:paraId="6AA624F1" w14:textId="77777777" w:rsidTr="0025113E">
        <w:trPr>
          <w:jc w:val="center"/>
        </w:trPr>
        <w:tc>
          <w:tcPr>
            <w:tcW w:w="2547" w:type="dxa"/>
            <w:vMerge w:val="restart"/>
          </w:tcPr>
          <w:p w14:paraId="2B232C56" w14:textId="606DF2F0" w:rsidR="00096AB2" w:rsidRDefault="00096AB2" w:rsidP="0092285C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Type of contribution:</w:t>
            </w:r>
          </w:p>
        </w:tc>
        <w:tc>
          <w:tcPr>
            <w:tcW w:w="2835" w:type="dxa"/>
          </w:tcPr>
          <w:p w14:paraId="7F689842" w14:textId="77777777" w:rsidR="00096AB2" w:rsidRDefault="00096AB2" w:rsidP="0092285C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Poster session               </w:t>
            </w:r>
            <w:sdt>
              <w:sdtPr>
                <w:rPr>
                  <w:b/>
                  <w:bCs/>
                  <w:iCs/>
                  <w:sz w:val="24"/>
                </w:rPr>
                <w:id w:val="-50613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</w:rPr>
                  <w:t>☐</w:t>
                </w:r>
              </w:sdtContent>
            </w:sdt>
            <w:r>
              <w:rPr>
                <w:iCs/>
                <w:sz w:val="24"/>
              </w:rPr>
              <w:t xml:space="preserve"> </w:t>
            </w:r>
          </w:p>
        </w:tc>
      </w:tr>
      <w:tr w:rsidR="00096AB2" w14:paraId="153A603A" w14:textId="77777777" w:rsidTr="0025113E">
        <w:trPr>
          <w:jc w:val="center"/>
        </w:trPr>
        <w:tc>
          <w:tcPr>
            <w:tcW w:w="2547" w:type="dxa"/>
            <w:vMerge/>
          </w:tcPr>
          <w:p w14:paraId="02E43341" w14:textId="77777777" w:rsidR="00096AB2" w:rsidRDefault="00096AB2" w:rsidP="0092285C">
            <w:pPr>
              <w:rPr>
                <w:iCs/>
                <w:sz w:val="24"/>
              </w:rPr>
            </w:pPr>
          </w:p>
        </w:tc>
        <w:tc>
          <w:tcPr>
            <w:tcW w:w="2835" w:type="dxa"/>
          </w:tcPr>
          <w:p w14:paraId="078F0834" w14:textId="3CAB67CE" w:rsidR="00096AB2" w:rsidRDefault="00096AB2" w:rsidP="0092285C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Oral Contribution         </w:t>
            </w:r>
            <w:sdt>
              <w:sdtPr>
                <w:rPr>
                  <w:b/>
                  <w:bCs/>
                  <w:iCs/>
                  <w:sz w:val="24"/>
                </w:rPr>
                <w:id w:val="-519542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85C"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</w:rPr>
                  <w:t>☒</w:t>
                </w:r>
              </w:sdtContent>
            </w:sdt>
          </w:p>
        </w:tc>
      </w:tr>
    </w:tbl>
    <w:p w14:paraId="284CF36C" w14:textId="77777777" w:rsidR="00096AB2" w:rsidRDefault="00096AB2" w:rsidP="00DB3E36">
      <w:pPr>
        <w:jc w:val="both"/>
        <w:rPr>
          <w:sz w:val="24"/>
        </w:rPr>
      </w:pPr>
    </w:p>
    <w:sectPr w:rsidR="00096AB2" w:rsidSect="00D956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943A" w14:textId="77777777" w:rsidR="00F61760" w:rsidRDefault="00F61760">
      <w:r>
        <w:separator/>
      </w:r>
    </w:p>
  </w:endnote>
  <w:endnote w:type="continuationSeparator" w:id="0">
    <w:p w14:paraId="5865D97D" w14:textId="77777777" w:rsidR="00F61760" w:rsidRDefault="00F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C857" w14:textId="77777777" w:rsidR="002C752D" w:rsidRDefault="002C7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25E3" w14:textId="77777777" w:rsidR="002C752D" w:rsidRDefault="002C7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B91D" w14:textId="77777777" w:rsidR="002C752D" w:rsidRDefault="002C7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ED27" w14:textId="77777777" w:rsidR="00F61760" w:rsidRDefault="00F61760">
      <w:r>
        <w:separator/>
      </w:r>
    </w:p>
  </w:footnote>
  <w:footnote w:type="continuationSeparator" w:id="0">
    <w:p w14:paraId="7A42CC03" w14:textId="77777777" w:rsidR="00F61760" w:rsidRDefault="00F6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FC36" w14:textId="77777777" w:rsidR="002C752D" w:rsidRDefault="002C7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0DD7" w14:textId="77777777" w:rsidR="002C752D" w:rsidRDefault="002C75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0752" w14:textId="77777777" w:rsidR="002C752D" w:rsidRDefault="002C75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MDE3NTe0MDMwN7NU0lEKTi0uzszPAykwrAUAH6u8UywAAAA="/>
  </w:docVars>
  <w:rsids>
    <w:rsidRoot w:val="00DB3E36"/>
    <w:rsid w:val="000428EF"/>
    <w:rsid w:val="0006182E"/>
    <w:rsid w:val="000942B0"/>
    <w:rsid w:val="00096AB2"/>
    <w:rsid w:val="000C1E8B"/>
    <w:rsid w:val="001C2E1D"/>
    <w:rsid w:val="00223841"/>
    <w:rsid w:val="002C752D"/>
    <w:rsid w:val="002D07B6"/>
    <w:rsid w:val="0034259C"/>
    <w:rsid w:val="003E41C9"/>
    <w:rsid w:val="00465D8F"/>
    <w:rsid w:val="004A73A3"/>
    <w:rsid w:val="00513D7B"/>
    <w:rsid w:val="00553659"/>
    <w:rsid w:val="00562297"/>
    <w:rsid w:val="005A2AC1"/>
    <w:rsid w:val="005D14AD"/>
    <w:rsid w:val="00636B4E"/>
    <w:rsid w:val="00724EE4"/>
    <w:rsid w:val="007921F1"/>
    <w:rsid w:val="007A67E8"/>
    <w:rsid w:val="007B29CD"/>
    <w:rsid w:val="007B71C0"/>
    <w:rsid w:val="007E4C4F"/>
    <w:rsid w:val="00805BCC"/>
    <w:rsid w:val="00807A54"/>
    <w:rsid w:val="0082129B"/>
    <w:rsid w:val="00840CEF"/>
    <w:rsid w:val="0085430E"/>
    <w:rsid w:val="0086140A"/>
    <w:rsid w:val="00866E67"/>
    <w:rsid w:val="008754EA"/>
    <w:rsid w:val="008C579B"/>
    <w:rsid w:val="008D2942"/>
    <w:rsid w:val="008F764B"/>
    <w:rsid w:val="0092285C"/>
    <w:rsid w:val="009737D6"/>
    <w:rsid w:val="00990E8D"/>
    <w:rsid w:val="00A31997"/>
    <w:rsid w:val="00A84D73"/>
    <w:rsid w:val="00B64F51"/>
    <w:rsid w:val="00B74092"/>
    <w:rsid w:val="00B83222"/>
    <w:rsid w:val="00C91DA6"/>
    <w:rsid w:val="00D41818"/>
    <w:rsid w:val="00D52D69"/>
    <w:rsid w:val="00DB3E36"/>
    <w:rsid w:val="00DE1414"/>
    <w:rsid w:val="00E007B3"/>
    <w:rsid w:val="00E716CB"/>
    <w:rsid w:val="00E80D81"/>
    <w:rsid w:val="00E8630A"/>
    <w:rsid w:val="00E96AF5"/>
    <w:rsid w:val="00F61760"/>
    <w:rsid w:val="00F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3AA83"/>
  <w15:chartTrackingRefBased/>
  <w15:docId w15:val="{279FD900-7582-47D9-A1AB-384B2AEE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E36"/>
    <w:rPr>
      <w:rFonts w:ascii="Times New Roman" w:eastAsia="Times New Roman" w:hAnsi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7B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B3E36"/>
    <w:pPr>
      <w:ind w:firstLine="360"/>
    </w:pPr>
  </w:style>
  <w:style w:type="character" w:styleId="Hyperlink">
    <w:name w:val="Hyperlink"/>
    <w:uiPriority w:val="99"/>
    <w:unhideWhenUsed/>
    <w:rsid w:val="00DB3E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E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B3E3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B3E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3E3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DB3E3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B3E36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customStyle="1" w:styleId="Heading1Char">
    <w:name w:val="Heading 1 Char"/>
    <w:link w:val="Heading1"/>
    <w:uiPriority w:val="9"/>
    <w:rsid w:val="002D07B6"/>
    <w:rPr>
      <w:rFonts w:ascii="Calibri Light" w:eastAsia="Times New Roman" w:hAnsi="Calibri Light" w:cs="Times New Roman"/>
      <w:color w:val="2E74B5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B29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3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A2AC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9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ylenia.ziber@ijs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721546272CD468B18464B66B4DFB7" ma:contentTypeVersion="13" ma:contentTypeDescription="Create a new document." ma:contentTypeScope="" ma:versionID="6ec0361c81a0d826427ce655ba51706c">
  <xsd:schema xmlns:xsd="http://www.w3.org/2001/XMLSchema" xmlns:xs="http://www.w3.org/2001/XMLSchema" xmlns:p="http://schemas.microsoft.com/office/2006/metadata/properties" xmlns:ns2="dac7d76e-4156-4210-9604-d2ff15f3146b" xmlns:ns3="232f2610-36d7-4e00-a50a-5418b612b21e" targetNamespace="http://schemas.microsoft.com/office/2006/metadata/properties" ma:root="true" ma:fieldsID="fab9b9f7b972699cccb08ebb2d27ca7e" ns2:_="" ns3:_="">
    <xsd:import namespace="dac7d76e-4156-4210-9604-d2ff15f3146b"/>
    <xsd:import namespace="232f2610-36d7-4e00-a50a-5418b612b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d76e-4156-4210-9604-d2ff15f31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6641f5-0da7-4f48-9a81-ef320f605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f2610-36d7-4e00-a50a-5418b612b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a3bb72-24b6-4347-9801-efcbcc4b578f}" ma:internalName="TaxCatchAll" ma:showField="CatchAllData" ma:web="232f2610-36d7-4e00-a50a-5418b612b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f2610-36d7-4e00-a50a-5418b612b21e" xsi:nil="true"/>
    <lcf76f155ced4ddcb4097134ff3c332f xmlns="dac7d76e-4156-4210-9604-d2ff15f31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123DBF-88A7-4789-BEE1-3C007C095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91240-562E-4021-856C-81BB49CB0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7d76e-4156-4210-9604-d2ff15f3146b"/>
    <ds:schemaRef ds:uri="232f2610-36d7-4e00-a50a-5418b612b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34282-5ADC-4F0F-98CF-0A8AD42DFF5C}">
  <ds:schemaRefs>
    <ds:schemaRef ds:uri="http://schemas.microsoft.com/office/2006/metadata/properties"/>
    <ds:schemaRef ds:uri="http://schemas.microsoft.com/office/infopath/2007/PartnerControls"/>
    <ds:schemaRef ds:uri="232f2610-36d7-4e00-a50a-5418b612b21e"/>
    <ds:schemaRef ds:uri="dac7d76e-4156-4210-9604-d2ff15f31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MCNP® 2021 User Symposium Abstract Template</vt:lpstr>
    </vt:vector>
  </TitlesOfParts>
  <Company>LANL DCS-CSD</Company>
  <LinksUpToDate>false</LinksUpToDate>
  <CharactersWithSpaces>3009</CharactersWithSpaces>
  <SharedDoc>false</SharedDoc>
  <HyperlinkBase>MCNP® 2021 User Symposium Abstract Template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MCNP® 2021 User Symposium Abstract Template</dc:title>
  <dc:subject>Abstract template</dc:subject>
  <dc:creator>Haag, Sarah Marie</dc:creator>
  <cp:keywords/>
  <dc:description/>
  <cp:lastModifiedBy>Ylenia Žiber</cp:lastModifiedBy>
  <cp:revision>34</cp:revision>
  <cp:lastPrinted>2026-03-31T11:49:00Z</cp:lastPrinted>
  <dcterms:created xsi:type="dcterms:W3CDTF">2021-04-12T23:49:00Z</dcterms:created>
  <dcterms:modified xsi:type="dcterms:W3CDTF">2026-04-09T10:58:00Z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0x010100730721546272CD468B18464B66B4DFB7</vt:lpwstr>
  </property>
</Properties>
</file>