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FFF4" w14:textId="370B9DAC" w:rsidR="001A6ED7" w:rsidRPr="00A814E8" w:rsidRDefault="00A814E8" w:rsidP="001A6ED7">
      <w:pPr>
        <w:spacing w:after="240"/>
        <w:jc w:val="center"/>
        <w:rPr>
          <w:rFonts w:ascii="Times" w:hAnsi="Times"/>
          <w:b/>
          <w:sz w:val="32"/>
          <w:lang w:val="en-US"/>
        </w:rPr>
      </w:pPr>
      <w:bookmarkStart w:id="0" w:name="_Hlk171352861"/>
      <w:r w:rsidRPr="00A814E8">
        <w:rPr>
          <w:rFonts w:ascii="Times" w:hAnsi="Times"/>
          <w:b/>
          <w:sz w:val="32"/>
          <w:lang w:val="en-US"/>
        </w:rPr>
        <w:t>Commissioning and hydrogen test o</w:t>
      </w:r>
      <w:r>
        <w:rPr>
          <w:rFonts w:ascii="Times" w:hAnsi="Times"/>
          <w:b/>
          <w:sz w:val="32"/>
          <w:lang w:val="en-US"/>
        </w:rPr>
        <w:t>f the ion source for Sorgentina-RF</w:t>
      </w:r>
    </w:p>
    <w:p w14:paraId="72AA5CB5" w14:textId="70C2407D" w:rsidR="00170FD2" w:rsidRPr="00170FD2" w:rsidRDefault="00170FD2" w:rsidP="00170FD2">
      <w:pPr>
        <w:jc w:val="center"/>
        <w:rPr>
          <w:rFonts w:ascii="Times" w:hAnsi="Times"/>
        </w:rPr>
      </w:pPr>
      <w:r w:rsidRPr="00170FD2">
        <w:rPr>
          <w:rFonts w:ascii="Times" w:hAnsi="Times"/>
        </w:rPr>
        <w:t>N. Fonnesu</w:t>
      </w:r>
      <w:r w:rsidRPr="00170FD2">
        <w:rPr>
          <w:rFonts w:ascii="Times" w:hAnsi="Times"/>
          <w:vertAlign w:val="superscript"/>
        </w:rPr>
        <w:t>1</w:t>
      </w:r>
      <w:r w:rsidRPr="00170FD2">
        <w:rPr>
          <w:rFonts w:ascii="Times" w:hAnsi="Times"/>
        </w:rPr>
        <w:t>, P. Zito</w:t>
      </w:r>
      <w:r w:rsidRPr="00170FD2">
        <w:rPr>
          <w:rFonts w:ascii="Times" w:hAnsi="Times"/>
          <w:vertAlign w:val="superscript"/>
        </w:rPr>
        <w:t>1</w:t>
      </w:r>
      <w:r w:rsidRPr="00170FD2">
        <w:rPr>
          <w:rFonts w:ascii="Times" w:hAnsi="Times"/>
        </w:rPr>
        <w:t>, A. Pietropaolo</w:t>
      </w:r>
      <w:r w:rsidRPr="00170FD2">
        <w:rPr>
          <w:rFonts w:ascii="Times" w:hAnsi="Times"/>
          <w:vertAlign w:val="superscript"/>
        </w:rPr>
        <w:t>1</w:t>
      </w:r>
      <w:r w:rsidRPr="00170FD2">
        <w:rPr>
          <w:rFonts w:ascii="Times" w:hAnsi="Times"/>
        </w:rPr>
        <w:t>, K. Voukelatou</w:t>
      </w:r>
      <w:r w:rsidRPr="00170FD2">
        <w:rPr>
          <w:rFonts w:ascii="Times" w:hAnsi="Times"/>
          <w:vertAlign w:val="superscript"/>
        </w:rPr>
        <w:t>2</w:t>
      </w:r>
      <w:r w:rsidRPr="00170FD2">
        <w:rPr>
          <w:rFonts w:ascii="Times" w:hAnsi="Times"/>
        </w:rPr>
        <w:t>, A. Del Nevo</w:t>
      </w:r>
      <w:r w:rsidRPr="00170FD2">
        <w:rPr>
          <w:rFonts w:ascii="Times" w:hAnsi="Times"/>
          <w:vertAlign w:val="superscript"/>
        </w:rPr>
        <w:t>3</w:t>
      </w:r>
      <w:r w:rsidRPr="00170FD2">
        <w:rPr>
          <w:rFonts w:ascii="Times" w:hAnsi="Times"/>
        </w:rPr>
        <w:t>, M. Lamberti</w:t>
      </w:r>
      <w:r w:rsidRPr="00170FD2">
        <w:rPr>
          <w:rFonts w:ascii="Times" w:hAnsi="Times"/>
          <w:vertAlign w:val="superscript"/>
        </w:rPr>
        <w:t>3</w:t>
      </w:r>
      <w:r w:rsidRPr="00170FD2">
        <w:rPr>
          <w:rFonts w:ascii="Times" w:hAnsi="Times"/>
        </w:rPr>
        <w:t>, R. Marinari</w:t>
      </w:r>
      <w:r w:rsidRPr="00170FD2">
        <w:rPr>
          <w:rFonts w:ascii="Times" w:hAnsi="Times"/>
          <w:vertAlign w:val="superscript"/>
        </w:rPr>
        <w:t>3</w:t>
      </w:r>
      <w:r w:rsidRPr="00170FD2">
        <w:rPr>
          <w:rFonts w:ascii="Times" w:hAnsi="Times"/>
        </w:rPr>
        <w:t>,</w:t>
      </w:r>
      <w:r>
        <w:rPr>
          <w:rFonts w:ascii="Times" w:hAnsi="Times"/>
        </w:rPr>
        <w:t xml:space="preserve"> </w:t>
      </w:r>
      <w:r w:rsidRPr="00170FD2">
        <w:rPr>
          <w:rFonts w:ascii="Times" w:hAnsi="Times"/>
        </w:rPr>
        <w:t>A. Orefice</w:t>
      </w:r>
      <w:r w:rsidRPr="00170FD2">
        <w:rPr>
          <w:rFonts w:ascii="Times" w:hAnsi="Times"/>
          <w:vertAlign w:val="superscript"/>
        </w:rPr>
        <w:t>3</w:t>
      </w:r>
      <w:r w:rsidRPr="00170FD2">
        <w:rPr>
          <w:rFonts w:ascii="Times" w:hAnsi="Times"/>
        </w:rPr>
        <w:t>, V. Sermenghi</w:t>
      </w:r>
      <w:r w:rsidRPr="00170FD2">
        <w:rPr>
          <w:rFonts w:ascii="Times" w:hAnsi="Times"/>
          <w:vertAlign w:val="superscript"/>
        </w:rPr>
        <w:t>3</w:t>
      </w:r>
      <w:r w:rsidRPr="00170FD2">
        <w:rPr>
          <w:rFonts w:ascii="Times" w:hAnsi="Times"/>
        </w:rPr>
        <w:t>, SORGENTINA-RF team</w:t>
      </w:r>
    </w:p>
    <w:p w14:paraId="0CB36DC3" w14:textId="33298150" w:rsidR="00170FD2" w:rsidRPr="00170FD2" w:rsidRDefault="00170FD2" w:rsidP="00170FD2">
      <w:pPr>
        <w:jc w:val="center"/>
        <w:rPr>
          <w:rFonts w:ascii="Times" w:hAnsi="Times"/>
        </w:rPr>
      </w:pPr>
      <w:r w:rsidRPr="00170FD2">
        <w:rPr>
          <w:rFonts w:ascii="Times" w:hAnsi="Times"/>
          <w:lang w:val="en-US"/>
        </w:rPr>
        <w:t>M.A. Cummings</w:t>
      </w:r>
      <w:r>
        <w:rPr>
          <w:rFonts w:ascii="Times" w:hAnsi="Times"/>
          <w:vertAlign w:val="superscript"/>
          <w:lang w:val="en-US"/>
        </w:rPr>
        <w:t>4</w:t>
      </w:r>
      <w:r w:rsidRPr="00170FD2">
        <w:rPr>
          <w:rFonts w:ascii="Times" w:hAnsi="Times"/>
          <w:lang w:val="en-US"/>
        </w:rPr>
        <w:t>, V. Dudnikov</w:t>
      </w:r>
      <w:r>
        <w:rPr>
          <w:rFonts w:ascii="Times" w:hAnsi="Times"/>
          <w:vertAlign w:val="superscript"/>
          <w:lang w:val="en-US"/>
        </w:rPr>
        <w:t>4</w:t>
      </w:r>
      <w:r w:rsidRPr="00170FD2">
        <w:rPr>
          <w:rFonts w:ascii="Times" w:hAnsi="Times"/>
          <w:lang w:val="en-US"/>
        </w:rPr>
        <w:t>, R. Johnson</w:t>
      </w:r>
      <w:r>
        <w:rPr>
          <w:rFonts w:ascii="Times" w:hAnsi="Times"/>
          <w:vertAlign w:val="superscript"/>
          <w:lang w:val="en-US"/>
        </w:rPr>
        <w:t>4</w:t>
      </w:r>
      <w:r w:rsidRPr="00170FD2">
        <w:rPr>
          <w:rFonts w:ascii="Times" w:hAnsi="Times"/>
          <w:lang w:val="en-US"/>
        </w:rPr>
        <w:t>, S. Murray</w:t>
      </w:r>
      <w:r>
        <w:rPr>
          <w:rFonts w:ascii="Times" w:hAnsi="Times"/>
          <w:vertAlign w:val="superscript"/>
          <w:lang w:val="en-US"/>
        </w:rPr>
        <w:t>4</w:t>
      </w:r>
      <w:r w:rsidRPr="00170FD2">
        <w:rPr>
          <w:rFonts w:ascii="Times" w:hAnsi="Times"/>
          <w:lang w:val="en-US"/>
        </w:rPr>
        <w:t>, M. Popovic</w:t>
      </w:r>
      <w:r>
        <w:rPr>
          <w:rFonts w:ascii="Times" w:hAnsi="Times"/>
          <w:vertAlign w:val="superscript"/>
          <w:lang w:val="en-US"/>
        </w:rPr>
        <w:t>4</w:t>
      </w:r>
      <w:r w:rsidRPr="00170FD2">
        <w:rPr>
          <w:rFonts w:ascii="Times" w:hAnsi="Times"/>
          <w:lang w:val="en-US"/>
        </w:rPr>
        <w:t>, T. Roberts</w:t>
      </w:r>
      <w:r>
        <w:rPr>
          <w:rFonts w:ascii="Times" w:hAnsi="Times"/>
          <w:vertAlign w:val="superscript"/>
          <w:lang w:val="en-US"/>
        </w:rPr>
        <w:t>4</w:t>
      </w:r>
      <w:r w:rsidRPr="00170FD2">
        <w:rPr>
          <w:rFonts w:ascii="Times" w:hAnsi="Times"/>
          <w:lang w:val="en-US"/>
        </w:rPr>
        <w:t xml:space="preserve">, Muons Inc. </w:t>
      </w:r>
      <w:r w:rsidRPr="00170FD2">
        <w:rPr>
          <w:rFonts w:ascii="Times" w:hAnsi="Times"/>
        </w:rPr>
        <w:t>Contributors</w:t>
      </w:r>
      <w:r w:rsidR="0008310B" w:rsidRPr="0008310B">
        <w:rPr>
          <w:rFonts w:ascii="Times" w:hAnsi="Times"/>
          <w:vertAlign w:val="superscript"/>
        </w:rPr>
        <w:t>4</w:t>
      </w:r>
    </w:p>
    <w:p w14:paraId="5A869BCB" w14:textId="77777777" w:rsidR="00170FD2" w:rsidRPr="00170FD2" w:rsidRDefault="00170FD2" w:rsidP="00170FD2">
      <w:pPr>
        <w:spacing w:after="0"/>
        <w:jc w:val="center"/>
        <w:rPr>
          <w:rFonts w:ascii="Times" w:hAnsi="Times"/>
          <w:i/>
          <w:iCs/>
        </w:rPr>
      </w:pPr>
      <w:r w:rsidRPr="00170FD2">
        <w:rPr>
          <w:rFonts w:ascii="Times" w:hAnsi="Times"/>
          <w:i/>
          <w:iCs/>
          <w:vertAlign w:val="superscript"/>
        </w:rPr>
        <w:t>1</w:t>
      </w:r>
      <w:r w:rsidRPr="00170FD2">
        <w:rPr>
          <w:rFonts w:ascii="Times" w:hAnsi="Times"/>
          <w:i/>
          <w:iCs/>
        </w:rPr>
        <w:t>ENEA, Nuclear Department, C.R. Frascati, Via E. Fermi 45, 00044 Frascati (Rome), Italy</w:t>
      </w:r>
    </w:p>
    <w:p w14:paraId="00D31DAD" w14:textId="4020F57D" w:rsidR="00170FD2" w:rsidRPr="00170FD2" w:rsidRDefault="00170FD2" w:rsidP="00170FD2">
      <w:pPr>
        <w:spacing w:after="0"/>
        <w:jc w:val="center"/>
        <w:rPr>
          <w:rFonts w:ascii="Times" w:hAnsi="Times"/>
          <w:i/>
          <w:iCs/>
        </w:rPr>
      </w:pPr>
      <w:r w:rsidRPr="00170FD2">
        <w:rPr>
          <w:rFonts w:ascii="Times" w:hAnsi="Times"/>
          <w:i/>
          <w:iCs/>
          <w:vertAlign w:val="superscript"/>
        </w:rPr>
        <w:t>2</w:t>
      </w:r>
      <w:r w:rsidRPr="00170FD2">
        <w:rPr>
          <w:rFonts w:ascii="Times" w:hAnsi="Times"/>
          <w:i/>
          <w:iCs/>
        </w:rPr>
        <w:t>ENEA, Nuclear Department, C.R. Bologna, 40121, Bologna, Italy</w:t>
      </w:r>
    </w:p>
    <w:p w14:paraId="3E261B16" w14:textId="3C3B6C7B" w:rsidR="00170FD2" w:rsidRPr="00170FD2" w:rsidRDefault="00170FD2" w:rsidP="00170FD2">
      <w:pPr>
        <w:spacing w:after="0"/>
        <w:jc w:val="center"/>
        <w:rPr>
          <w:rFonts w:ascii="Times" w:hAnsi="Times"/>
          <w:i/>
          <w:iCs/>
        </w:rPr>
      </w:pPr>
      <w:r w:rsidRPr="00170FD2">
        <w:rPr>
          <w:rFonts w:ascii="Times" w:hAnsi="Times"/>
          <w:i/>
          <w:iCs/>
          <w:vertAlign w:val="superscript"/>
        </w:rPr>
        <w:t>3</w:t>
      </w:r>
      <w:r w:rsidRPr="00170FD2">
        <w:rPr>
          <w:rFonts w:ascii="Times" w:hAnsi="Times"/>
          <w:i/>
          <w:iCs/>
        </w:rPr>
        <w:t>ENEA, Nuclear Department, C.R. Brasimone, 40032 Camugnano (Bologna), Italy</w:t>
      </w:r>
    </w:p>
    <w:p w14:paraId="56E9FF65" w14:textId="58F5D89D" w:rsidR="00170FD2" w:rsidRPr="00170FD2" w:rsidRDefault="00170FD2" w:rsidP="00170FD2">
      <w:pPr>
        <w:spacing w:after="0"/>
        <w:jc w:val="center"/>
        <w:rPr>
          <w:rFonts w:ascii="Times" w:hAnsi="Times"/>
          <w:i/>
          <w:iCs/>
        </w:rPr>
      </w:pPr>
      <w:r w:rsidRPr="00170FD2">
        <w:rPr>
          <w:rFonts w:ascii="Times" w:hAnsi="Times"/>
          <w:i/>
          <w:iCs/>
          <w:vertAlign w:val="superscript"/>
        </w:rPr>
        <w:t>4</w:t>
      </w:r>
      <w:r w:rsidRPr="00170FD2">
        <w:rPr>
          <w:rFonts w:ascii="Times" w:hAnsi="Times"/>
          <w:i/>
          <w:iCs/>
        </w:rPr>
        <w:t>Muons, Inc., Batavia Ave. n. 552, Batavia, 60510 IL – USA</w:t>
      </w:r>
    </w:p>
    <w:p w14:paraId="3DF1AC38" w14:textId="77777777" w:rsidR="00170FD2" w:rsidRDefault="00170FD2" w:rsidP="0007576B">
      <w:pPr>
        <w:jc w:val="center"/>
        <w:rPr>
          <w:rFonts w:ascii="Times" w:hAnsi="Times"/>
        </w:rPr>
      </w:pPr>
    </w:p>
    <w:p w14:paraId="7A590705" w14:textId="75DFE17C" w:rsidR="008E6518" w:rsidRPr="008E6518" w:rsidRDefault="008E6518" w:rsidP="008E6518">
      <w:pPr>
        <w:spacing w:after="120"/>
        <w:jc w:val="center"/>
        <w:rPr>
          <w:iCs/>
          <w:sz w:val="24"/>
          <w:lang w:val="en-US"/>
        </w:rPr>
      </w:pPr>
      <w:r w:rsidRPr="008E6518">
        <w:rPr>
          <w:iCs/>
          <w:sz w:val="24"/>
          <w:lang w:val="en-US"/>
        </w:rPr>
        <w:t xml:space="preserve">Corresponding Author Email: </w:t>
      </w:r>
      <w:r w:rsidRPr="008E6518">
        <w:rPr>
          <w:iCs/>
          <w:sz w:val="24"/>
          <w:lang w:val="en-US"/>
        </w:rPr>
        <w:t>nico</w:t>
      </w:r>
      <w:r>
        <w:rPr>
          <w:iCs/>
          <w:sz w:val="24"/>
          <w:lang w:val="en-US"/>
        </w:rPr>
        <w:t>la.fonnesu@enea.it</w:t>
      </w:r>
      <w:r w:rsidRPr="008E6518">
        <w:rPr>
          <w:iCs/>
          <w:sz w:val="24"/>
          <w:lang w:val="en-US"/>
        </w:rPr>
        <w:t xml:space="preserve">   </w:t>
      </w:r>
    </w:p>
    <w:p w14:paraId="28F4EFC9" w14:textId="77777777" w:rsidR="008E6518" w:rsidRPr="008E6518" w:rsidRDefault="008E6518" w:rsidP="0007576B">
      <w:pPr>
        <w:jc w:val="center"/>
        <w:rPr>
          <w:rFonts w:ascii="Times" w:hAnsi="Times"/>
          <w:lang w:val="en-US"/>
        </w:rPr>
      </w:pPr>
    </w:p>
    <w:bookmarkEnd w:id="0"/>
    <w:p w14:paraId="2B534D51" w14:textId="67F6310B" w:rsidR="001A6ED7" w:rsidRDefault="001A6ED7" w:rsidP="001A6ED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late 80s-early 90s, two projects of accelerator-based 14-MeV neutron sources were conceived at the ENEA Research Center of Frascati, i.e., the Frascati Neutron Generator (FNG) and SORGENTINA, in response to specific needs of the scientific community involved in Controlled Thermonuclear Fusion. FNG </w:t>
      </w:r>
      <w:r w:rsidR="00B54AD4">
        <w:rPr>
          <w:rFonts w:ascii="Times New Roman" w:hAnsi="Times New Roman" w:cs="Times New Roman"/>
          <w:sz w:val="24"/>
          <w:szCs w:val="24"/>
          <w:lang w:val="en-US"/>
        </w:rPr>
        <w:t>(neutron strength up to 1.5x10</w:t>
      </w:r>
      <w:r w:rsidR="00B54AD4" w:rsidRPr="00AF19E3">
        <w:rPr>
          <w:rFonts w:ascii="Times New Roman" w:hAnsi="Times New Roman" w:cs="Times New Roman"/>
          <w:sz w:val="24"/>
          <w:szCs w:val="24"/>
          <w:vertAlign w:val="superscript"/>
          <w:lang w:val="en-US"/>
        </w:rPr>
        <w:t>11</w:t>
      </w:r>
      <w:r w:rsidR="00B54AD4">
        <w:rPr>
          <w:rFonts w:ascii="Times New Roman" w:hAnsi="Times New Roman" w:cs="Times New Roman"/>
          <w:sz w:val="24"/>
          <w:szCs w:val="24"/>
          <w:lang w:val="en-US"/>
        </w:rPr>
        <w:t xml:space="preserve"> s</w:t>
      </w:r>
      <w:r w:rsidR="00B54AD4" w:rsidRPr="00AF19E3">
        <w:rPr>
          <w:rFonts w:ascii="Times New Roman" w:hAnsi="Times New Roman" w:cs="Times New Roman"/>
          <w:sz w:val="24"/>
          <w:szCs w:val="24"/>
          <w:vertAlign w:val="superscript"/>
          <w:lang w:val="en-US"/>
        </w:rPr>
        <w:t>-1</w:t>
      </w:r>
      <w:r w:rsidR="00B54AD4">
        <w:rPr>
          <w:rFonts w:ascii="Times New Roman" w:hAnsi="Times New Roman" w:cs="Times New Roman"/>
          <w:sz w:val="24"/>
          <w:szCs w:val="24"/>
          <w:lang w:val="en-US"/>
        </w:rPr>
        <w:t xml:space="preserve">) </w:t>
      </w:r>
      <w:r>
        <w:rPr>
          <w:rFonts w:ascii="Times New Roman" w:hAnsi="Times New Roman" w:cs="Times New Roman"/>
          <w:sz w:val="24"/>
          <w:szCs w:val="24"/>
          <w:lang w:val="en-US"/>
        </w:rPr>
        <w:t>was mainly to support the develo</w:t>
      </w:r>
      <w:r w:rsidR="00B54AD4">
        <w:rPr>
          <w:rFonts w:ascii="Times New Roman" w:hAnsi="Times New Roman" w:cs="Times New Roman"/>
          <w:sz w:val="24"/>
          <w:szCs w:val="24"/>
          <w:lang w:val="en-US"/>
        </w:rPr>
        <w:t xml:space="preserve">pment </w:t>
      </w:r>
      <w:r>
        <w:rPr>
          <w:rFonts w:ascii="Times New Roman" w:hAnsi="Times New Roman" w:cs="Times New Roman"/>
          <w:sz w:val="24"/>
          <w:szCs w:val="24"/>
          <w:lang w:val="en-US"/>
        </w:rPr>
        <w:t>and benchmark of neutronics codes, methods and cross-sections relevant for the nuclear analysis of fusion machines, while SORGENTINA</w:t>
      </w:r>
      <w:r w:rsidR="00B54AD4">
        <w:rPr>
          <w:rFonts w:ascii="Times New Roman" w:hAnsi="Times New Roman" w:cs="Times New Roman"/>
          <w:sz w:val="24"/>
          <w:szCs w:val="24"/>
          <w:lang w:val="en-US"/>
        </w:rPr>
        <w:t xml:space="preserve"> (neutron strength up to 7x10</w:t>
      </w:r>
      <w:r w:rsidR="00B54AD4" w:rsidRPr="00AF19E3">
        <w:rPr>
          <w:rFonts w:ascii="Times New Roman" w:hAnsi="Times New Roman" w:cs="Times New Roman"/>
          <w:sz w:val="24"/>
          <w:szCs w:val="24"/>
          <w:vertAlign w:val="superscript"/>
          <w:lang w:val="en-US"/>
        </w:rPr>
        <w:t>15</w:t>
      </w:r>
      <w:r w:rsidR="00B54AD4">
        <w:rPr>
          <w:rFonts w:ascii="Times New Roman" w:hAnsi="Times New Roman" w:cs="Times New Roman"/>
          <w:sz w:val="24"/>
          <w:szCs w:val="24"/>
          <w:lang w:val="en-US"/>
        </w:rPr>
        <w:t xml:space="preserve"> s</w:t>
      </w:r>
      <w:r w:rsidR="00B54AD4" w:rsidRPr="00AF19E3">
        <w:rPr>
          <w:rFonts w:ascii="Times New Roman" w:hAnsi="Times New Roman" w:cs="Times New Roman"/>
          <w:sz w:val="24"/>
          <w:szCs w:val="24"/>
          <w:vertAlign w:val="superscript"/>
          <w:lang w:val="en-US"/>
        </w:rPr>
        <w:t>-1</w:t>
      </w:r>
      <w:r w:rsidR="00B54AD4">
        <w:rPr>
          <w:rFonts w:ascii="Times New Roman" w:hAnsi="Times New Roman" w:cs="Times New Roman"/>
          <w:sz w:val="24"/>
          <w:szCs w:val="24"/>
          <w:lang w:val="en-US"/>
        </w:rPr>
        <w:t>)</w:t>
      </w:r>
      <w:r>
        <w:rPr>
          <w:rFonts w:ascii="Times New Roman" w:hAnsi="Times New Roman" w:cs="Times New Roman"/>
          <w:sz w:val="24"/>
          <w:szCs w:val="24"/>
          <w:lang w:val="en-US"/>
        </w:rPr>
        <w:t xml:space="preserve"> was</w:t>
      </w:r>
      <w:r w:rsidR="00D624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support studies on damage and property variation of fusion materials under higher neutron fluence. </w:t>
      </w:r>
    </w:p>
    <w:p w14:paraId="41C649B6" w14:textId="55210104" w:rsidR="001A6ED7" w:rsidRDefault="001A6ED7" w:rsidP="00A814E8">
      <w:pPr>
        <w:spacing w:after="0"/>
        <w:jc w:val="both"/>
        <w:rPr>
          <w:rFonts w:ascii="Times New Roman" w:hAnsi="Times New Roman"/>
          <w:sz w:val="24"/>
          <w:szCs w:val="24"/>
          <w:lang w:val="en-GB"/>
        </w:rPr>
      </w:pPr>
      <w:r>
        <w:rPr>
          <w:rFonts w:ascii="Times New Roman" w:hAnsi="Times New Roman" w:cs="Times New Roman"/>
          <w:sz w:val="24"/>
          <w:szCs w:val="24"/>
          <w:lang w:val="en-US"/>
        </w:rPr>
        <w:t xml:space="preserve">FNG was then </w:t>
      </w:r>
      <w:r w:rsidR="00B54AD4">
        <w:rPr>
          <w:rFonts w:ascii="Times New Roman" w:hAnsi="Times New Roman" w:cs="Times New Roman"/>
          <w:sz w:val="24"/>
          <w:szCs w:val="24"/>
          <w:lang w:val="en-US"/>
        </w:rPr>
        <w:t>built</w:t>
      </w:r>
      <w:r w:rsidR="007379B6">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007379B6">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has</w:t>
      </w:r>
      <w:r w:rsidR="007379B6">
        <w:rPr>
          <w:rFonts w:ascii="Times New Roman" w:hAnsi="Times New Roman" w:cs="Times New Roman"/>
          <w:sz w:val="24"/>
          <w:szCs w:val="24"/>
          <w:lang w:val="en-US"/>
        </w:rPr>
        <w:t xml:space="preserve"> operated</w:t>
      </w:r>
      <w:proofErr w:type="gramEnd"/>
      <w:r w:rsidR="007379B6">
        <w:rPr>
          <w:rFonts w:ascii="Times New Roman" w:hAnsi="Times New Roman" w:cs="Times New Roman"/>
          <w:sz w:val="24"/>
          <w:szCs w:val="24"/>
          <w:lang w:val="en-US"/>
        </w:rPr>
        <w:t xml:space="preserve"> </w:t>
      </w:r>
      <w:r w:rsidR="00B54AD4">
        <w:rPr>
          <w:rFonts w:ascii="Times New Roman" w:hAnsi="Times New Roman" w:cs="Times New Roman"/>
          <w:sz w:val="24"/>
          <w:szCs w:val="24"/>
          <w:lang w:val="en-US"/>
        </w:rPr>
        <w:t>for</w:t>
      </w:r>
      <w:r>
        <w:rPr>
          <w:rFonts w:ascii="Times New Roman" w:hAnsi="Times New Roman" w:cs="Times New Roman"/>
          <w:sz w:val="24"/>
          <w:szCs w:val="24"/>
          <w:lang w:val="en-US"/>
        </w:rPr>
        <w:t xml:space="preserve"> </w:t>
      </w:r>
      <w:r w:rsidR="009E5062">
        <w:rPr>
          <w:rFonts w:ascii="Times New Roman" w:hAnsi="Times New Roman" w:cs="Times New Roman"/>
          <w:sz w:val="24"/>
          <w:szCs w:val="24"/>
          <w:lang w:val="en-US"/>
        </w:rPr>
        <w:t>over thirty years</w:t>
      </w:r>
      <w:r w:rsidR="00B54AD4">
        <w:rPr>
          <w:rFonts w:ascii="Times New Roman" w:hAnsi="Times New Roman" w:cs="Times New Roman"/>
          <w:sz w:val="24"/>
          <w:szCs w:val="24"/>
          <w:lang w:val="en-US"/>
        </w:rPr>
        <w:t xml:space="preserve"> </w:t>
      </w:r>
      <w:r>
        <w:rPr>
          <w:rFonts w:ascii="Times New Roman" w:hAnsi="Times New Roman" w:cs="Times New Roman"/>
          <w:sz w:val="24"/>
          <w:szCs w:val="24"/>
          <w:lang w:val="en-US"/>
        </w:rPr>
        <w:t>in support of primary</w:t>
      </w:r>
      <w:r w:rsidR="00B54AD4">
        <w:rPr>
          <w:rFonts w:ascii="Times New Roman" w:hAnsi="Times New Roman" w:cs="Times New Roman"/>
          <w:sz w:val="24"/>
          <w:szCs w:val="24"/>
          <w:lang w:val="en-US"/>
        </w:rPr>
        <w:t xml:space="preserve"> </w:t>
      </w:r>
      <w:r>
        <w:rPr>
          <w:rFonts w:ascii="Times New Roman" w:hAnsi="Times New Roman" w:cs="Times New Roman"/>
          <w:sz w:val="24"/>
          <w:szCs w:val="24"/>
          <w:lang w:val="en-US"/>
        </w:rPr>
        <w:t>fusion neutronics experiments, while the SORGENTINA project</w:t>
      </w:r>
      <w:r w:rsidR="00B54AD4">
        <w:rPr>
          <w:rFonts w:ascii="Times New Roman" w:hAnsi="Times New Roman" w:cs="Times New Roman"/>
          <w:sz w:val="24"/>
          <w:szCs w:val="24"/>
          <w:lang w:val="en-US"/>
        </w:rPr>
        <w:t xml:space="preserve"> has </w:t>
      </w:r>
      <w:r>
        <w:rPr>
          <w:rFonts w:ascii="Times New Roman" w:hAnsi="Times New Roman" w:cs="Times New Roman"/>
          <w:sz w:val="24"/>
          <w:szCs w:val="24"/>
          <w:lang w:val="en-US"/>
        </w:rPr>
        <w:t>been reconsidered only in recent years at a smaller scale, i.e., 10</w:t>
      </w:r>
      <w:r w:rsidRPr="00DC7A02">
        <w:rPr>
          <w:rFonts w:ascii="Times New Roman" w:hAnsi="Times New Roman" w:cs="Times New Roman"/>
          <w:sz w:val="24"/>
          <w:szCs w:val="24"/>
          <w:vertAlign w:val="superscript"/>
          <w:lang w:val="en-US"/>
        </w:rPr>
        <w:t>14</w:t>
      </w:r>
      <w:r>
        <w:rPr>
          <w:rFonts w:ascii="Times New Roman" w:hAnsi="Times New Roman" w:cs="Times New Roman"/>
          <w:sz w:val="24"/>
          <w:szCs w:val="24"/>
          <w:lang w:val="en-US"/>
        </w:rPr>
        <w:t xml:space="preserve"> s</w:t>
      </w:r>
      <w:r w:rsidRPr="00DC7A02">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2554FB">
        <w:rPr>
          <w:rFonts w:ascii="Times New Roman" w:hAnsi="Times New Roman" w:cs="Times New Roman"/>
          <w:sz w:val="24"/>
          <w:szCs w:val="24"/>
          <w:lang w:val="en-US"/>
        </w:rPr>
        <w:t xml:space="preserve">a.k.a. </w:t>
      </w:r>
      <w:r>
        <w:rPr>
          <w:rFonts w:ascii="Times New Roman" w:hAnsi="Times New Roman" w:cs="Times New Roman"/>
          <w:sz w:val="24"/>
          <w:szCs w:val="24"/>
          <w:lang w:val="en-US"/>
        </w:rPr>
        <w:t>SORGENTINA-RF)</w:t>
      </w:r>
      <w:r w:rsidR="00505EFE">
        <w:rPr>
          <w:rFonts w:ascii="Times New Roman" w:hAnsi="Times New Roman" w:cs="Times New Roman"/>
          <w:sz w:val="24"/>
          <w:szCs w:val="24"/>
          <w:lang w:val="en-US"/>
        </w:rPr>
        <w:t xml:space="preserve">. </w:t>
      </w:r>
      <w:r>
        <w:rPr>
          <w:rFonts w:ascii="Times New Roman" w:hAnsi="Times New Roman"/>
          <w:sz w:val="24"/>
          <w:szCs w:val="24"/>
          <w:lang w:val="en-GB"/>
        </w:rPr>
        <w:t xml:space="preserve">SORGENTINA-RF is a </w:t>
      </w:r>
      <w:proofErr w:type="gramStart"/>
      <w:r>
        <w:rPr>
          <w:rFonts w:ascii="Times New Roman" w:hAnsi="Times New Roman"/>
          <w:sz w:val="24"/>
          <w:szCs w:val="24"/>
          <w:lang w:val="en-GB"/>
        </w:rPr>
        <w:t>250 kW</w:t>
      </w:r>
      <w:proofErr w:type="gramEnd"/>
      <w:r>
        <w:rPr>
          <w:rFonts w:ascii="Times New Roman" w:hAnsi="Times New Roman"/>
          <w:sz w:val="24"/>
          <w:szCs w:val="24"/>
          <w:lang w:val="en-GB"/>
        </w:rPr>
        <w:t xml:space="preserve"> neutron source</w:t>
      </w:r>
      <w:r w:rsidR="00505EFE">
        <w:rPr>
          <w:rFonts w:ascii="Times New Roman" w:hAnsi="Times New Roman"/>
          <w:sz w:val="24"/>
          <w:szCs w:val="24"/>
          <w:lang w:val="en-GB"/>
        </w:rPr>
        <w:t xml:space="preserve"> </w:t>
      </w:r>
      <w:r w:rsidR="0075731D">
        <w:rPr>
          <w:rFonts w:ascii="Times New Roman" w:hAnsi="Times New Roman"/>
          <w:sz w:val="24"/>
          <w:szCs w:val="24"/>
          <w:lang w:val="en-GB"/>
        </w:rPr>
        <w:t xml:space="preserve">at his first stage of development and </w:t>
      </w:r>
      <w:r w:rsidR="00505EFE">
        <w:rPr>
          <w:rFonts w:ascii="Times New Roman" w:hAnsi="Times New Roman"/>
          <w:sz w:val="24"/>
          <w:szCs w:val="24"/>
          <w:lang w:val="en-GB"/>
        </w:rPr>
        <w:t xml:space="preserve">mainly funded to demonstrate the </w:t>
      </w:r>
      <w:r>
        <w:rPr>
          <w:rFonts w:ascii="Times New Roman" w:hAnsi="Times New Roman"/>
          <w:sz w:val="24"/>
          <w:szCs w:val="24"/>
          <w:lang w:val="en-GB"/>
        </w:rPr>
        <w:t>production of</w:t>
      </w:r>
      <w:r w:rsidR="00B54AD4">
        <w:rPr>
          <w:rFonts w:ascii="Times New Roman" w:hAnsi="Times New Roman"/>
          <w:sz w:val="24"/>
          <w:szCs w:val="24"/>
          <w:lang w:val="en-GB"/>
        </w:rPr>
        <w:t xml:space="preserve"> </w:t>
      </w:r>
      <w:proofErr w:type="gramStart"/>
      <w:r w:rsidRPr="001268B8">
        <w:rPr>
          <w:rFonts w:ascii="Times New Roman" w:hAnsi="Times New Roman"/>
          <w:sz w:val="24"/>
          <w:szCs w:val="24"/>
          <w:lang w:val="en-GB"/>
        </w:rPr>
        <w:t>radio-tracer</w:t>
      </w:r>
      <w:r w:rsidR="00B54AD4">
        <w:rPr>
          <w:rFonts w:ascii="Times New Roman" w:hAnsi="Times New Roman"/>
          <w:sz w:val="24"/>
          <w:szCs w:val="24"/>
          <w:lang w:val="en-GB"/>
        </w:rPr>
        <w:t>s</w:t>
      </w:r>
      <w:proofErr w:type="gramEnd"/>
      <w:r w:rsidR="00B54AD4">
        <w:rPr>
          <w:rFonts w:ascii="Times New Roman" w:hAnsi="Times New Roman"/>
          <w:sz w:val="24"/>
          <w:szCs w:val="24"/>
          <w:lang w:val="en-GB"/>
        </w:rPr>
        <w:t xml:space="preserve"> for medical diagnostics. </w:t>
      </w:r>
      <w:r w:rsidR="0075731D">
        <w:rPr>
          <w:rFonts w:ascii="Times New Roman" w:hAnsi="Times New Roman"/>
          <w:sz w:val="24"/>
          <w:szCs w:val="24"/>
          <w:lang w:val="en-GB"/>
        </w:rPr>
        <w:t xml:space="preserve">This stage foresees the </w:t>
      </w:r>
      <w:r w:rsidR="00B54AD4">
        <w:rPr>
          <w:rFonts w:ascii="Times New Roman" w:hAnsi="Times New Roman"/>
          <w:sz w:val="24"/>
          <w:szCs w:val="24"/>
          <w:lang w:val="en-GB"/>
        </w:rPr>
        <w:t xml:space="preserve">construction </w:t>
      </w:r>
      <w:r w:rsidR="0075731D">
        <w:rPr>
          <w:rFonts w:ascii="Times New Roman" w:hAnsi="Times New Roman"/>
          <w:sz w:val="24"/>
          <w:szCs w:val="24"/>
          <w:lang w:val="en-GB"/>
        </w:rPr>
        <w:t>of the ion source and accelerator column and the rotating target where fusion reactions occur. In the ion source, a</w:t>
      </w:r>
      <w:r>
        <w:rPr>
          <w:rFonts w:ascii="Times New Roman" w:hAnsi="Times New Roman"/>
          <w:sz w:val="24"/>
          <w:szCs w:val="24"/>
          <w:lang w:val="en-GB"/>
        </w:rPr>
        <w:t xml:space="preserve"> mixed positive ion beam of D</w:t>
      </w:r>
      <w:r w:rsidRPr="0046725C">
        <w:rPr>
          <w:rFonts w:ascii="Times New Roman" w:hAnsi="Times New Roman"/>
          <w:sz w:val="24"/>
          <w:szCs w:val="24"/>
          <w:vertAlign w:val="superscript"/>
          <w:lang w:val="en-GB"/>
        </w:rPr>
        <w:t>+</w:t>
      </w:r>
      <w:r>
        <w:rPr>
          <w:rFonts w:ascii="Times New Roman" w:hAnsi="Times New Roman"/>
          <w:sz w:val="24"/>
          <w:szCs w:val="24"/>
          <w:lang w:val="en-GB"/>
        </w:rPr>
        <w:t xml:space="preserve"> and T</w:t>
      </w:r>
      <w:r w:rsidRPr="0046725C">
        <w:rPr>
          <w:rFonts w:ascii="Times New Roman" w:hAnsi="Times New Roman"/>
          <w:sz w:val="24"/>
          <w:szCs w:val="24"/>
          <w:vertAlign w:val="superscript"/>
          <w:lang w:val="en-GB"/>
        </w:rPr>
        <w:t>+</w:t>
      </w:r>
      <w:r>
        <w:rPr>
          <w:rFonts w:ascii="Times New Roman" w:hAnsi="Times New Roman"/>
          <w:sz w:val="24"/>
          <w:szCs w:val="24"/>
          <w:lang w:val="en-GB"/>
        </w:rPr>
        <w:t xml:space="preserve"> (833 mA in total at the target, half of each) is produced in the RF plasma chamber of the ion source equipped with a</w:t>
      </w:r>
      <w:r w:rsidR="0075731D">
        <w:rPr>
          <w:rFonts w:ascii="Times New Roman" w:hAnsi="Times New Roman"/>
          <w:sz w:val="24"/>
          <w:szCs w:val="24"/>
          <w:lang w:val="en-GB"/>
        </w:rPr>
        <w:t xml:space="preserve">n </w:t>
      </w:r>
      <w:r>
        <w:rPr>
          <w:rFonts w:ascii="Times New Roman" w:hAnsi="Times New Roman"/>
          <w:sz w:val="24"/>
          <w:szCs w:val="24"/>
          <w:lang w:val="en-GB"/>
        </w:rPr>
        <w:t>antenna (in combination with a DC solenoidal magnetic to improve significantly the ion production), then extracted and accelerated up to 50 keV by a 4-electrode multi</w:t>
      </w:r>
      <w:r w:rsidR="00765BAD">
        <w:rPr>
          <w:rFonts w:ascii="Times New Roman" w:hAnsi="Times New Roman"/>
          <w:sz w:val="24"/>
          <w:szCs w:val="24"/>
          <w:lang w:val="en-GB"/>
        </w:rPr>
        <w:t>-</w:t>
      </w:r>
      <w:r>
        <w:rPr>
          <w:rFonts w:ascii="Times New Roman" w:hAnsi="Times New Roman"/>
          <w:sz w:val="24"/>
          <w:szCs w:val="24"/>
          <w:lang w:val="en-GB"/>
        </w:rPr>
        <w:t xml:space="preserve">aperture extraction system and then to 300 keV in the accelerating column. </w:t>
      </w:r>
      <w:r w:rsidR="00342B48">
        <w:rPr>
          <w:rFonts w:ascii="Times New Roman" w:hAnsi="Times New Roman"/>
          <w:sz w:val="24"/>
          <w:szCs w:val="24"/>
          <w:lang w:val="en-GB"/>
        </w:rPr>
        <w:t xml:space="preserve">The present work aims at illustrating the machine performance and the recent commissioning and tests in hydrogen </w:t>
      </w:r>
      <w:r>
        <w:rPr>
          <w:rFonts w:ascii="Times New Roman" w:hAnsi="Times New Roman"/>
          <w:sz w:val="24"/>
          <w:szCs w:val="24"/>
          <w:lang w:val="en-GB"/>
        </w:rPr>
        <w:t xml:space="preserve">with a proper ion beam dump at the ENEA Research </w:t>
      </w:r>
      <w:r w:rsidR="00D62431">
        <w:rPr>
          <w:rFonts w:ascii="Times New Roman" w:hAnsi="Times New Roman"/>
          <w:sz w:val="24"/>
          <w:szCs w:val="24"/>
          <w:lang w:val="en-GB"/>
        </w:rPr>
        <w:t>C</w:t>
      </w:r>
      <w:r>
        <w:rPr>
          <w:rFonts w:ascii="Times New Roman" w:hAnsi="Times New Roman"/>
          <w:sz w:val="24"/>
          <w:szCs w:val="24"/>
          <w:lang w:val="en-GB"/>
        </w:rPr>
        <w:t>enter of Brasimone</w:t>
      </w:r>
      <w:r w:rsidR="00A814E8">
        <w:rPr>
          <w:rFonts w:ascii="Times New Roman" w:hAnsi="Times New Roman"/>
          <w:sz w:val="24"/>
          <w:szCs w:val="24"/>
          <w:lang w:val="en-GB"/>
        </w:rPr>
        <w:t>.</w:t>
      </w:r>
      <w:r w:rsidR="002554FB">
        <w:rPr>
          <w:rFonts w:ascii="Times New Roman" w:hAnsi="Times New Roman"/>
          <w:sz w:val="24"/>
          <w:szCs w:val="24"/>
          <w:lang w:val="en-GB"/>
        </w:rPr>
        <w:t xml:space="preserve"> Criticalities and n</w:t>
      </w:r>
      <w:r w:rsidR="00A814E8">
        <w:rPr>
          <w:rFonts w:ascii="Times New Roman" w:hAnsi="Times New Roman"/>
          <w:sz w:val="24"/>
          <w:szCs w:val="24"/>
          <w:lang w:val="en-GB"/>
        </w:rPr>
        <w:t>ext steps toward the nuclear phase of the machine are highlighted as well.</w:t>
      </w:r>
    </w:p>
    <w:p w14:paraId="38EB0742" w14:textId="1F03BD18" w:rsidR="00EE586F" w:rsidRDefault="00EE586F" w:rsidP="001A6ED7">
      <w:pPr>
        <w:rPr>
          <w:lang w:val="en-US"/>
        </w:rPr>
      </w:pPr>
    </w:p>
    <w:p w14:paraId="3684C8B6" w14:textId="77777777" w:rsidR="008E6518" w:rsidRDefault="008E6518" w:rsidP="001A6ED7">
      <w:pPr>
        <w:rPr>
          <w:lang w:val="en-US"/>
        </w:rPr>
      </w:pPr>
    </w:p>
    <w:p w14:paraId="7A399FD4" w14:textId="77777777" w:rsidR="008E6518" w:rsidRDefault="008E6518" w:rsidP="001A6ED7">
      <w:pPr>
        <w:rPr>
          <w:lang w:val="en-US"/>
        </w:rPr>
      </w:pPr>
    </w:p>
    <w:p w14:paraId="42B61866" w14:textId="77777777" w:rsidR="008E6518" w:rsidRDefault="008E6518" w:rsidP="001A6ED7">
      <w:pPr>
        <w:rPr>
          <w:lang w:val="en-US"/>
        </w:rPr>
      </w:pPr>
    </w:p>
    <w:p w14:paraId="5CB0D781" w14:textId="77777777" w:rsidR="008E6518" w:rsidRDefault="008E6518" w:rsidP="001A6ED7">
      <w:pPr>
        <w:rPr>
          <w:lang w:val="en-US"/>
        </w:rPr>
      </w:pPr>
    </w:p>
    <w:p w14:paraId="7EB88819" w14:textId="77777777" w:rsidR="008E6518" w:rsidRDefault="008E6518" w:rsidP="001A6ED7">
      <w:pPr>
        <w:rPr>
          <w:lang w:val="en-US"/>
        </w:rPr>
      </w:pPr>
    </w:p>
    <w:tbl>
      <w:tblPr>
        <w:tblStyle w:val="Grigliatabella"/>
        <w:tblW w:w="0" w:type="auto"/>
        <w:jc w:val="center"/>
        <w:tblLook w:val="04A0" w:firstRow="1" w:lastRow="0" w:firstColumn="1" w:lastColumn="0" w:noHBand="0" w:noVBand="1"/>
      </w:tblPr>
      <w:tblGrid>
        <w:gridCol w:w="2547"/>
        <w:gridCol w:w="2835"/>
      </w:tblGrid>
      <w:tr w:rsidR="008E6518" w14:paraId="6EED0AF4" w14:textId="77777777" w:rsidTr="00E1592A">
        <w:trPr>
          <w:jc w:val="center"/>
        </w:trPr>
        <w:tc>
          <w:tcPr>
            <w:tcW w:w="2547" w:type="dxa"/>
            <w:vMerge w:val="restart"/>
          </w:tcPr>
          <w:p w14:paraId="18A99B6A" w14:textId="77777777" w:rsidR="008E6518" w:rsidRDefault="008E6518" w:rsidP="00E1592A">
            <w:pPr>
              <w:rPr>
                <w:iCs/>
                <w:sz w:val="24"/>
              </w:rPr>
            </w:pPr>
            <w:r>
              <w:rPr>
                <w:iCs/>
                <w:sz w:val="24"/>
              </w:rPr>
              <w:t>Type of contribution:</w:t>
            </w:r>
          </w:p>
        </w:tc>
        <w:tc>
          <w:tcPr>
            <w:tcW w:w="2835" w:type="dxa"/>
          </w:tcPr>
          <w:p w14:paraId="3DBBF684" w14:textId="394F7684" w:rsidR="008E6518" w:rsidRDefault="008E6518" w:rsidP="00E1592A">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8E6518" w14:paraId="6C6360A5" w14:textId="77777777" w:rsidTr="00E1592A">
        <w:trPr>
          <w:jc w:val="center"/>
        </w:trPr>
        <w:tc>
          <w:tcPr>
            <w:tcW w:w="2547" w:type="dxa"/>
            <w:vMerge/>
          </w:tcPr>
          <w:p w14:paraId="16CA2D27" w14:textId="77777777" w:rsidR="008E6518" w:rsidRDefault="008E6518" w:rsidP="00E1592A">
            <w:pPr>
              <w:rPr>
                <w:iCs/>
                <w:sz w:val="24"/>
              </w:rPr>
            </w:pPr>
          </w:p>
        </w:tc>
        <w:tc>
          <w:tcPr>
            <w:tcW w:w="2835" w:type="dxa"/>
          </w:tcPr>
          <w:p w14:paraId="6532E40B" w14:textId="40FF592C" w:rsidR="008E6518" w:rsidRDefault="008E6518" w:rsidP="00E1592A">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Pr>
                    <w:rFonts w:ascii="MS Gothic" w:eastAsia="MS Gothic" w:hAnsi="MS Gothic" w:hint="eastAsia"/>
                    <w:b/>
                    <w:bCs/>
                    <w:iCs/>
                    <w:sz w:val="24"/>
                  </w:rPr>
                  <w:t>☒</w:t>
                </w:r>
              </w:sdtContent>
            </w:sdt>
          </w:p>
        </w:tc>
      </w:tr>
    </w:tbl>
    <w:p w14:paraId="1EA41AEC" w14:textId="77777777" w:rsidR="008E6518" w:rsidRPr="002554FB" w:rsidRDefault="008E6518" w:rsidP="001A6ED7">
      <w:pPr>
        <w:rPr>
          <w:lang w:val="en-US"/>
        </w:rPr>
      </w:pPr>
    </w:p>
    <w:sectPr w:rsidR="008E6518" w:rsidRPr="002554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D7"/>
    <w:rsid w:val="0007576B"/>
    <w:rsid w:val="0008310B"/>
    <w:rsid w:val="00170FD2"/>
    <w:rsid w:val="001A6ED7"/>
    <w:rsid w:val="002554FB"/>
    <w:rsid w:val="00342B48"/>
    <w:rsid w:val="00423AD2"/>
    <w:rsid w:val="0047591A"/>
    <w:rsid w:val="00477B73"/>
    <w:rsid w:val="00505EFE"/>
    <w:rsid w:val="007379B6"/>
    <w:rsid w:val="0075731D"/>
    <w:rsid w:val="00765BAD"/>
    <w:rsid w:val="007817BE"/>
    <w:rsid w:val="007D5065"/>
    <w:rsid w:val="008E6518"/>
    <w:rsid w:val="00915904"/>
    <w:rsid w:val="009E5062"/>
    <w:rsid w:val="00A72551"/>
    <w:rsid w:val="00A814E8"/>
    <w:rsid w:val="00B54AD4"/>
    <w:rsid w:val="00BD3C9B"/>
    <w:rsid w:val="00D62431"/>
    <w:rsid w:val="00EE586F"/>
    <w:rsid w:val="00FB0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E5F3"/>
  <w15:chartTrackingRefBased/>
  <w15:docId w15:val="{CAF06B56-5981-4409-82EF-64B742C8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6E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A6E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A6ED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A6ED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A6ED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A6ED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6ED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A6ED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6ED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A6ED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A6ED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A6ED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A6ED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A6ED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A6ED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A6ED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A6ED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A6ED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A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6ED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6ED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6ED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6ED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6ED7"/>
    <w:rPr>
      <w:i/>
      <w:iCs/>
      <w:color w:val="404040" w:themeColor="text1" w:themeTint="BF"/>
    </w:rPr>
  </w:style>
  <w:style w:type="paragraph" w:styleId="Paragrafoelenco">
    <w:name w:val="List Paragraph"/>
    <w:basedOn w:val="Normale"/>
    <w:uiPriority w:val="34"/>
    <w:qFormat/>
    <w:rsid w:val="001A6ED7"/>
    <w:pPr>
      <w:ind w:left="720"/>
      <w:contextualSpacing/>
    </w:pPr>
  </w:style>
  <w:style w:type="character" w:styleId="Enfasiintensa">
    <w:name w:val="Intense Emphasis"/>
    <w:basedOn w:val="Carpredefinitoparagrafo"/>
    <w:uiPriority w:val="21"/>
    <w:qFormat/>
    <w:rsid w:val="001A6ED7"/>
    <w:rPr>
      <w:i/>
      <w:iCs/>
      <w:color w:val="2F5496" w:themeColor="accent1" w:themeShade="BF"/>
    </w:rPr>
  </w:style>
  <w:style w:type="paragraph" w:styleId="Citazioneintensa">
    <w:name w:val="Intense Quote"/>
    <w:basedOn w:val="Normale"/>
    <w:next w:val="Normale"/>
    <w:link w:val="CitazioneintensaCarattere"/>
    <w:uiPriority w:val="30"/>
    <w:qFormat/>
    <w:rsid w:val="001A6E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A6ED7"/>
    <w:rPr>
      <w:i/>
      <w:iCs/>
      <w:color w:val="2F5496" w:themeColor="accent1" w:themeShade="BF"/>
    </w:rPr>
  </w:style>
  <w:style w:type="character" w:styleId="Riferimentointenso">
    <w:name w:val="Intense Reference"/>
    <w:basedOn w:val="Carpredefinitoparagrafo"/>
    <w:uiPriority w:val="32"/>
    <w:qFormat/>
    <w:rsid w:val="001A6ED7"/>
    <w:rPr>
      <w:b/>
      <w:bCs/>
      <w:smallCaps/>
      <w:color w:val="2F5496" w:themeColor="accent1" w:themeShade="BF"/>
      <w:spacing w:val="5"/>
    </w:rPr>
  </w:style>
  <w:style w:type="table" w:styleId="Grigliatabella">
    <w:name w:val="Table Grid"/>
    <w:basedOn w:val="Tabellanormale"/>
    <w:uiPriority w:val="39"/>
    <w:rsid w:val="008E651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E6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99541">
      <w:bodyDiv w:val="1"/>
      <w:marLeft w:val="0"/>
      <w:marRight w:val="0"/>
      <w:marTop w:val="0"/>
      <w:marBottom w:val="0"/>
      <w:divBdr>
        <w:top w:val="none" w:sz="0" w:space="0" w:color="auto"/>
        <w:left w:val="none" w:sz="0" w:space="0" w:color="auto"/>
        <w:bottom w:val="none" w:sz="0" w:space="0" w:color="auto"/>
        <w:right w:val="none" w:sz="0" w:space="0" w:color="auto"/>
      </w:divBdr>
    </w:div>
    <w:div w:id="1289168961">
      <w:bodyDiv w:val="1"/>
      <w:marLeft w:val="0"/>
      <w:marRight w:val="0"/>
      <w:marTop w:val="0"/>
      <w:marBottom w:val="0"/>
      <w:divBdr>
        <w:top w:val="none" w:sz="0" w:space="0" w:color="auto"/>
        <w:left w:val="none" w:sz="0" w:space="0" w:color="auto"/>
        <w:bottom w:val="none" w:sz="0" w:space="0" w:color="auto"/>
        <w:right w:val="none" w:sz="0" w:space="0" w:color="auto"/>
      </w:divBdr>
    </w:div>
    <w:div w:id="15361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394</Words>
  <Characters>2251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Fonnesu</dc:creator>
  <cp:keywords/>
  <dc:description/>
  <cp:lastModifiedBy>Nicola Fonnesu</cp:lastModifiedBy>
  <cp:revision>5</cp:revision>
  <dcterms:created xsi:type="dcterms:W3CDTF">2026-04-10T09:50:00Z</dcterms:created>
  <dcterms:modified xsi:type="dcterms:W3CDTF">2026-04-10T10:04:00Z</dcterms:modified>
</cp:coreProperties>
</file>