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A7B5" w14:textId="3CF3A784" w:rsidR="00DB3E36" w:rsidRPr="00096AB2" w:rsidRDefault="00E52F35" w:rsidP="00DB3E36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Overview of measurements with silicon-carbide, lithium glass and optical fibers </w:t>
      </w:r>
      <w:r w:rsidR="00CC10FD">
        <w:rPr>
          <w:b/>
          <w:sz w:val="28"/>
          <w:szCs w:val="24"/>
        </w:rPr>
        <w:t xml:space="preserve">detectors </w:t>
      </w:r>
      <w:r>
        <w:rPr>
          <w:b/>
          <w:sz w:val="28"/>
          <w:szCs w:val="24"/>
        </w:rPr>
        <w:t xml:space="preserve">in the </w:t>
      </w:r>
      <w:r w:rsidR="00116ACA">
        <w:rPr>
          <w:b/>
          <w:sz w:val="28"/>
          <w:szCs w:val="24"/>
        </w:rPr>
        <w:t xml:space="preserve">FNG Concrete </w:t>
      </w:r>
      <w:r w:rsidR="00F55DF9">
        <w:rPr>
          <w:b/>
          <w:sz w:val="28"/>
          <w:szCs w:val="24"/>
        </w:rPr>
        <w:t>Shielding</w:t>
      </w:r>
      <w:r w:rsidR="00116ACA">
        <w:rPr>
          <w:b/>
          <w:sz w:val="28"/>
          <w:szCs w:val="24"/>
        </w:rPr>
        <w:t xml:space="preserve"> Experiment</w:t>
      </w:r>
    </w:p>
    <w:p w14:paraId="1610A4BF" w14:textId="77777777" w:rsidR="00DB3E36" w:rsidRPr="00B2354C" w:rsidRDefault="00DB3E36" w:rsidP="00DB3E36">
      <w:pPr>
        <w:rPr>
          <w:b/>
          <w:sz w:val="32"/>
          <w:szCs w:val="24"/>
        </w:rPr>
      </w:pPr>
    </w:p>
    <w:p w14:paraId="2003D3ED" w14:textId="3F00CECB" w:rsidR="00226FDA" w:rsidRPr="00B2354C" w:rsidRDefault="00226FDA" w:rsidP="00CC10FD">
      <w:pPr>
        <w:jc w:val="center"/>
        <w:rPr>
          <w:bCs/>
          <w:color w:val="000000"/>
          <w:sz w:val="24"/>
          <w:szCs w:val="24"/>
          <w:vertAlign w:val="superscript"/>
          <w:lang w:val="it-IT" w:eastAsia="it-IT"/>
        </w:rPr>
      </w:pPr>
      <w:r w:rsidRPr="00B2354C">
        <w:rPr>
          <w:bCs/>
          <w:color w:val="000000"/>
          <w:sz w:val="24"/>
          <w:szCs w:val="24"/>
          <w:lang w:val="it-IT" w:eastAsia="it-IT"/>
        </w:rPr>
        <w:t>A. Colangeli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R. Bedogni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3</w:t>
      </w:r>
      <w:r w:rsidRPr="00B2354C">
        <w:rPr>
          <w:bCs/>
          <w:color w:val="000000"/>
          <w:sz w:val="24"/>
          <w:szCs w:val="24"/>
          <w:lang w:val="it-IT" w:eastAsia="it-IT"/>
        </w:rPr>
        <w:t>, S. Castegnaro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A.I. Castro-Campoy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3</w:t>
      </w:r>
      <w:r w:rsidRPr="00B2354C">
        <w:rPr>
          <w:bCs/>
          <w:color w:val="000000"/>
          <w:sz w:val="24"/>
          <w:szCs w:val="24"/>
          <w:lang w:val="it-IT" w:eastAsia="it-IT"/>
        </w:rPr>
        <w:t>, M. Damiano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1,2</w:t>
      </w:r>
      <w:r w:rsidRPr="00B2354C">
        <w:rPr>
          <w:bCs/>
          <w:color w:val="000000"/>
          <w:sz w:val="24"/>
          <w:szCs w:val="24"/>
          <w:lang w:val="it-IT" w:eastAsia="it-IT"/>
        </w:rPr>
        <w:t>, D. Flammini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S. Girard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5</w:t>
      </w:r>
      <w:r w:rsidRPr="00B2354C">
        <w:rPr>
          <w:bCs/>
          <w:color w:val="000000"/>
          <w:sz w:val="24"/>
          <w:szCs w:val="24"/>
          <w:lang w:val="it-IT" w:eastAsia="it-IT"/>
        </w:rPr>
        <w:t>, R. Liccione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1,2</w:t>
      </w:r>
      <w:r w:rsidRPr="00B2354C">
        <w:rPr>
          <w:bCs/>
          <w:color w:val="000000"/>
          <w:sz w:val="24"/>
          <w:szCs w:val="24"/>
          <w:lang w:val="it-IT" w:eastAsia="it-IT"/>
        </w:rPr>
        <w:t>, V. Lombardi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4,1</w:t>
      </w:r>
      <w:r w:rsidRPr="00B2354C">
        <w:rPr>
          <w:bCs/>
          <w:color w:val="000000"/>
          <w:sz w:val="24"/>
          <w:szCs w:val="24"/>
          <w:lang w:val="it-IT" w:eastAsia="it-IT"/>
        </w:rPr>
        <w:t>, F. Lopez-Frigi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3</w:t>
      </w:r>
      <w:r w:rsidRPr="00B2354C">
        <w:rPr>
          <w:bCs/>
          <w:color w:val="000000"/>
          <w:sz w:val="24"/>
          <w:szCs w:val="24"/>
          <w:lang w:val="it-IT" w:eastAsia="it-IT"/>
        </w:rPr>
        <w:t>, S. Loreti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M. Lungaroni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F. Moro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S. Noce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</w:t>
      </w:r>
      <w:r w:rsidR="0064534E">
        <w:rPr>
          <w:bCs/>
          <w:color w:val="000000"/>
          <w:sz w:val="24"/>
          <w:szCs w:val="24"/>
          <w:lang w:val="it-IT" w:eastAsia="it-IT"/>
        </w:rPr>
        <w:t xml:space="preserve"> N. Fonnesu</w:t>
      </w:r>
      <w:r w:rsidR="0064534E" w:rsidRPr="0064534E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="0064534E">
        <w:rPr>
          <w:bCs/>
          <w:color w:val="000000"/>
          <w:sz w:val="24"/>
          <w:szCs w:val="24"/>
          <w:lang w:val="it-IT" w:eastAsia="it-IT"/>
        </w:rPr>
        <w:t>,</w:t>
      </w:r>
      <w:r w:rsidRPr="00B2354C">
        <w:rPr>
          <w:bCs/>
          <w:color w:val="000000"/>
          <w:sz w:val="24"/>
          <w:szCs w:val="24"/>
          <w:lang w:val="it-IT" w:eastAsia="it-IT"/>
        </w:rPr>
        <w:t xml:space="preserve"> G. Pagano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A. Pietropaolo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A. Previti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L. Russo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3</w:t>
      </w:r>
      <w:r w:rsidRPr="00B2354C">
        <w:rPr>
          <w:bCs/>
          <w:color w:val="000000"/>
          <w:sz w:val="24"/>
          <w:szCs w:val="24"/>
          <w:lang w:val="it-IT" w:eastAsia="it-IT"/>
        </w:rPr>
        <w:t>, R. Villari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1</w:t>
      </w:r>
      <w:r w:rsidRPr="00B2354C">
        <w:rPr>
          <w:bCs/>
          <w:color w:val="000000"/>
          <w:sz w:val="24"/>
          <w:szCs w:val="24"/>
          <w:lang w:val="it-IT" w:eastAsia="it-IT"/>
        </w:rPr>
        <w:t>, L. Weninger</w:t>
      </w:r>
      <w:r w:rsidRPr="00B2354C">
        <w:rPr>
          <w:bCs/>
          <w:color w:val="000000"/>
          <w:sz w:val="24"/>
          <w:szCs w:val="24"/>
          <w:vertAlign w:val="superscript"/>
          <w:lang w:val="it-IT" w:eastAsia="it-IT"/>
        </w:rPr>
        <w:t>5</w:t>
      </w:r>
    </w:p>
    <w:p w14:paraId="145ED400" w14:textId="77777777" w:rsidR="00DB3E36" w:rsidRPr="00226FDA" w:rsidRDefault="00DB3E36" w:rsidP="00DB3E36">
      <w:pPr>
        <w:rPr>
          <w:sz w:val="24"/>
          <w:lang w:val="it-IT"/>
        </w:rPr>
      </w:pPr>
    </w:p>
    <w:p w14:paraId="20080DF9" w14:textId="77777777" w:rsidR="00DD54E0" w:rsidRPr="00207D6E" w:rsidRDefault="00DB3E36" w:rsidP="00DB3E36">
      <w:pPr>
        <w:jc w:val="center"/>
        <w:rPr>
          <w:color w:val="000000"/>
          <w:sz w:val="24"/>
          <w:szCs w:val="24"/>
          <w:lang w:val="it-IT" w:eastAsia="it-IT"/>
        </w:rPr>
      </w:pPr>
      <w:r w:rsidRPr="00207D6E">
        <w:rPr>
          <w:i/>
          <w:sz w:val="24"/>
          <w:szCs w:val="24"/>
          <w:vertAlign w:val="superscript"/>
          <w:lang w:val="it-IT"/>
        </w:rPr>
        <w:t>1</w:t>
      </w:r>
      <w:r w:rsidR="00DD54E0" w:rsidRPr="00207D6E">
        <w:rPr>
          <w:color w:val="000000"/>
          <w:sz w:val="24"/>
          <w:szCs w:val="24"/>
          <w:lang w:val="it-IT" w:eastAsia="it-IT"/>
        </w:rPr>
        <w:t>ENEA NUC Department, Via E. Fermi 45, 00044 Frascati, Rome, Italy</w:t>
      </w:r>
    </w:p>
    <w:p w14:paraId="1ECB7010" w14:textId="349341F5" w:rsidR="00A0353E" w:rsidRPr="00207D6E" w:rsidRDefault="00DB3E36" w:rsidP="00A0353E">
      <w:pPr>
        <w:jc w:val="center"/>
        <w:rPr>
          <w:color w:val="000000"/>
          <w:sz w:val="24"/>
          <w:szCs w:val="24"/>
          <w:lang w:eastAsia="it-IT"/>
        </w:rPr>
      </w:pPr>
      <w:r w:rsidRPr="00207D6E">
        <w:rPr>
          <w:i/>
          <w:sz w:val="24"/>
          <w:szCs w:val="24"/>
          <w:vertAlign w:val="superscript"/>
          <w:lang w:val="en-GB"/>
        </w:rPr>
        <w:t>2</w:t>
      </w:r>
      <w:r w:rsidR="00A0353E" w:rsidRPr="00207D6E">
        <w:rPr>
          <w:color w:val="000000"/>
          <w:sz w:val="24"/>
          <w:szCs w:val="24"/>
          <w:lang w:eastAsia="it-IT"/>
        </w:rPr>
        <w:t>Department of Industrial Engineering, University of Rome “Tor Vergata”, Via del Politecnico 1, 00133, Rome, Italy</w:t>
      </w:r>
    </w:p>
    <w:p w14:paraId="7E977539" w14:textId="36B8D32D" w:rsidR="00825123" w:rsidRPr="00207D6E" w:rsidRDefault="006137CC" w:rsidP="006137CC">
      <w:pPr>
        <w:jc w:val="center"/>
        <w:rPr>
          <w:sz w:val="24"/>
          <w:szCs w:val="24"/>
          <w:lang w:val="it-IT"/>
        </w:rPr>
      </w:pPr>
      <w:r w:rsidRPr="00207D6E">
        <w:rPr>
          <w:i/>
          <w:sz w:val="24"/>
          <w:szCs w:val="24"/>
          <w:vertAlign w:val="superscript"/>
          <w:lang w:val="it-IT"/>
        </w:rPr>
        <w:t>3</w:t>
      </w:r>
      <w:r w:rsidR="00825123" w:rsidRPr="00207D6E">
        <w:rPr>
          <w:sz w:val="24"/>
          <w:szCs w:val="24"/>
          <w:lang w:val="it-IT"/>
        </w:rPr>
        <w:t>Istituto Nazionale Di Fisica Nucleare - Frascati National Laboratories, Frascati, Italy</w:t>
      </w:r>
    </w:p>
    <w:p w14:paraId="619C75DA" w14:textId="77777777" w:rsidR="00D6465C" w:rsidRPr="00593F79" w:rsidRDefault="006137CC" w:rsidP="006137CC">
      <w:pPr>
        <w:jc w:val="center"/>
        <w:rPr>
          <w:sz w:val="24"/>
          <w:szCs w:val="24"/>
          <w:lang w:val="en-GB"/>
        </w:rPr>
      </w:pPr>
      <w:r w:rsidRPr="00593F79">
        <w:rPr>
          <w:i/>
          <w:sz w:val="24"/>
          <w:szCs w:val="24"/>
          <w:vertAlign w:val="superscript"/>
          <w:lang w:val="en-GB"/>
        </w:rPr>
        <w:t>4</w:t>
      </w:r>
      <w:r w:rsidR="00D6465C" w:rsidRPr="00593F79">
        <w:rPr>
          <w:sz w:val="24"/>
          <w:szCs w:val="24"/>
          <w:lang w:val="en-GB"/>
        </w:rPr>
        <w:t>Sapienza University of Rome, Department of Electrical and Energy Engineering, Corso Vittorio Emanuele II 244, 00186, Rome, Italy</w:t>
      </w:r>
    </w:p>
    <w:p w14:paraId="5D5D7927" w14:textId="495845FB" w:rsidR="006137CC" w:rsidRPr="00207D6E" w:rsidRDefault="006137CC" w:rsidP="00A0353E">
      <w:pPr>
        <w:jc w:val="center"/>
        <w:rPr>
          <w:color w:val="000000"/>
          <w:sz w:val="24"/>
          <w:szCs w:val="24"/>
          <w:lang w:val="fr-FR" w:eastAsia="it-IT"/>
        </w:rPr>
      </w:pPr>
      <w:r w:rsidRPr="00207D6E">
        <w:rPr>
          <w:i/>
          <w:sz w:val="24"/>
          <w:szCs w:val="24"/>
          <w:vertAlign w:val="superscript"/>
          <w:lang w:val="fr-FR"/>
        </w:rPr>
        <w:t>5</w:t>
      </w:r>
      <w:r w:rsidR="00AA1273" w:rsidRPr="00207D6E">
        <w:rPr>
          <w:sz w:val="24"/>
          <w:szCs w:val="24"/>
          <w:lang w:val="fr-FR"/>
        </w:rPr>
        <w:t>Laboratoire Hubert Curien, UMR-CNRS 5516, Université Jean Monnet, F-42000 Saint-Etienne, France</w:t>
      </w:r>
    </w:p>
    <w:p w14:paraId="1C67510D" w14:textId="77777777" w:rsidR="00A0353E" w:rsidRPr="00AA1273" w:rsidRDefault="00A0353E" w:rsidP="00A0353E">
      <w:pPr>
        <w:jc w:val="center"/>
        <w:rPr>
          <w:color w:val="000000"/>
          <w:lang w:val="fr-FR" w:eastAsia="it-IT"/>
        </w:rPr>
      </w:pPr>
    </w:p>
    <w:p w14:paraId="0BC07B8A" w14:textId="2087AC36" w:rsidR="00DB3E36" w:rsidRDefault="00DB3E36" w:rsidP="00A0353E">
      <w:pPr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9" w:history="1">
        <w:r w:rsidR="00116ACA" w:rsidRPr="00143338">
          <w:rPr>
            <w:rStyle w:val="Collegamentoipertestuale"/>
            <w:iCs/>
            <w:sz w:val="24"/>
          </w:rPr>
          <w:t>andrea.colangeli@enea.it</w:t>
        </w:r>
      </w:hyperlink>
      <w:r w:rsidR="007B29CD">
        <w:rPr>
          <w:iCs/>
          <w:sz w:val="24"/>
        </w:rPr>
        <w:t xml:space="preserve">   </w:t>
      </w:r>
    </w:p>
    <w:p w14:paraId="72501B66" w14:textId="77777777" w:rsidR="00DB3E36" w:rsidRDefault="00DB3E36" w:rsidP="00DB3E36">
      <w:pPr>
        <w:jc w:val="center"/>
        <w:rPr>
          <w:iCs/>
          <w:sz w:val="24"/>
          <w:u w:val="single"/>
        </w:rPr>
      </w:pPr>
    </w:p>
    <w:p w14:paraId="3D1CED27" w14:textId="10CF0F0F" w:rsidR="001E01CB" w:rsidRPr="001E01CB" w:rsidRDefault="001E01CB" w:rsidP="001E01CB">
      <w:pPr>
        <w:jc w:val="both"/>
        <w:rPr>
          <w:color w:val="000000"/>
          <w:sz w:val="24"/>
          <w:szCs w:val="24"/>
          <w:lang w:val="en-GB" w:eastAsia="it-IT"/>
        </w:rPr>
      </w:pPr>
      <w:r w:rsidRPr="001E01CB">
        <w:rPr>
          <w:color w:val="000000"/>
          <w:sz w:val="24"/>
          <w:szCs w:val="24"/>
          <w:lang w:val="en-GB" w:eastAsia="it-IT"/>
        </w:rPr>
        <w:t xml:space="preserve">In 2025, the EUROfusion concrete shielding experiment was conducted at the 14 MeV Frascati Neutron Generator (FNG) facility at ENEA Frascati </w:t>
      </w:r>
      <w:r w:rsidR="00593F79">
        <w:rPr>
          <w:color w:val="000000"/>
          <w:sz w:val="24"/>
          <w:szCs w:val="24"/>
          <w:lang w:val="en-GB" w:eastAsia="it-IT"/>
        </w:rPr>
        <w:t xml:space="preserve">with the aim of </w:t>
      </w:r>
      <w:r w:rsidRPr="001E01CB">
        <w:rPr>
          <w:color w:val="000000"/>
          <w:sz w:val="24"/>
          <w:szCs w:val="24"/>
          <w:lang w:val="en-GB" w:eastAsia="it-IT"/>
        </w:rPr>
        <w:t>investigat</w:t>
      </w:r>
      <w:r w:rsidR="00593F79">
        <w:rPr>
          <w:color w:val="000000"/>
          <w:sz w:val="24"/>
          <w:szCs w:val="24"/>
          <w:lang w:val="en-GB" w:eastAsia="it-IT"/>
        </w:rPr>
        <w:t>ing</w:t>
      </w:r>
      <w:r w:rsidRPr="001E01CB">
        <w:rPr>
          <w:color w:val="000000"/>
          <w:sz w:val="24"/>
          <w:szCs w:val="24"/>
          <w:lang w:val="en-GB" w:eastAsia="it-IT"/>
        </w:rPr>
        <w:t xml:space="preserve"> neutron transport in concrete and assess</w:t>
      </w:r>
      <w:r w:rsidR="00593F79">
        <w:rPr>
          <w:color w:val="000000"/>
          <w:sz w:val="24"/>
          <w:szCs w:val="24"/>
          <w:lang w:val="en-GB" w:eastAsia="it-IT"/>
        </w:rPr>
        <w:t>ing</w:t>
      </w:r>
      <w:r w:rsidRPr="001E01CB">
        <w:rPr>
          <w:color w:val="000000"/>
          <w:sz w:val="24"/>
          <w:szCs w:val="24"/>
          <w:lang w:val="en-GB" w:eastAsia="it-IT"/>
        </w:rPr>
        <w:t xml:space="preserve"> the </w:t>
      </w:r>
      <w:r w:rsidR="00593F79">
        <w:rPr>
          <w:color w:val="000000"/>
          <w:sz w:val="24"/>
          <w:szCs w:val="24"/>
          <w:lang w:val="en-GB" w:eastAsia="it-IT"/>
        </w:rPr>
        <w:t>cap</w:t>
      </w:r>
      <w:r w:rsidRPr="001E01CB">
        <w:rPr>
          <w:color w:val="000000"/>
          <w:sz w:val="24"/>
          <w:szCs w:val="24"/>
          <w:lang w:val="en-GB" w:eastAsia="it-IT"/>
        </w:rPr>
        <w:t>ability of Monte Carlo codes to reproduce experimental results.</w:t>
      </w:r>
    </w:p>
    <w:p w14:paraId="19C2BCB3" w14:textId="7FF5E673" w:rsidR="001E01CB" w:rsidRPr="001E01CB" w:rsidRDefault="001E01CB" w:rsidP="001E01CB">
      <w:pPr>
        <w:jc w:val="both"/>
        <w:rPr>
          <w:color w:val="000000"/>
          <w:sz w:val="24"/>
          <w:szCs w:val="24"/>
          <w:lang w:val="en-GB" w:eastAsia="it-IT"/>
        </w:rPr>
      </w:pPr>
      <w:r w:rsidRPr="001E01CB">
        <w:rPr>
          <w:color w:val="000000"/>
          <w:sz w:val="24"/>
          <w:szCs w:val="24"/>
          <w:lang w:val="en-GB" w:eastAsia="it-IT"/>
        </w:rPr>
        <w:t xml:space="preserve">Three types of active neutron detectors were employed: silicon carbide (SiC) detectors, GS20 Li-glass detectors, and silica-based optical fibres as an innovative solution for neutron detection. The experiment </w:t>
      </w:r>
      <w:r w:rsidR="00593F79">
        <w:rPr>
          <w:color w:val="000000"/>
          <w:sz w:val="24"/>
          <w:szCs w:val="24"/>
          <w:lang w:val="en-GB" w:eastAsia="it-IT"/>
        </w:rPr>
        <w:t>was designed</w:t>
      </w:r>
      <w:r w:rsidR="00593F79" w:rsidRPr="001E01CB">
        <w:rPr>
          <w:color w:val="000000"/>
          <w:sz w:val="24"/>
          <w:szCs w:val="24"/>
          <w:lang w:val="en-GB" w:eastAsia="it-IT"/>
        </w:rPr>
        <w:t xml:space="preserve"> </w:t>
      </w:r>
      <w:r w:rsidRPr="001E01CB">
        <w:rPr>
          <w:color w:val="000000"/>
          <w:sz w:val="24"/>
          <w:szCs w:val="24"/>
          <w:lang w:val="en-GB" w:eastAsia="it-IT"/>
        </w:rPr>
        <w:t xml:space="preserve">to characterize the neutron field within a concrete mock-up consisting of thirteen slabs (50 × 50 × 5 cm³), </w:t>
      </w:r>
      <w:r w:rsidR="00C6543B">
        <w:rPr>
          <w:color w:val="000000"/>
          <w:sz w:val="24"/>
          <w:szCs w:val="24"/>
          <w:lang w:val="en-GB" w:eastAsia="it-IT"/>
        </w:rPr>
        <w:t>where the</w:t>
      </w:r>
      <w:r w:rsidRPr="001E01CB">
        <w:rPr>
          <w:color w:val="000000"/>
          <w:sz w:val="24"/>
          <w:szCs w:val="24"/>
          <w:lang w:val="en-GB" w:eastAsia="it-IT"/>
        </w:rPr>
        <w:t xml:space="preserve"> detectors </w:t>
      </w:r>
      <w:r w:rsidR="00C6543B">
        <w:rPr>
          <w:color w:val="000000"/>
          <w:sz w:val="24"/>
          <w:szCs w:val="24"/>
          <w:lang w:val="en-GB" w:eastAsia="it-IT"/>
        </w:rPr>
        <w:t xml:space="preserve">were </w:t>
      </w:r>
      <w:r w:rsidRPr="001E01CB">
        <w:rPr>
          <w:color w:val="000000"/>
          <w:sz w:val="24"/>
          <w:szCs w:val="24"/>
          <w:lang w:val="en-GB" w:eastAsia="it-IT"/>
        </w:rPr>
        <w:t>placed at different depths to measure neutron flux attenuation.</w:t>
      </w:r>
    </w:p>
    <w:p w14:paraId="5ECDD619" w14:textId="5FCAAB0C" w:rsidR="001E01CB" w:rsidRPr="001E01CB" w:rsidRDefault="001E01CB" w:rsidP="001E01CB">
      <w:pPr>
        <w:jc w:val="both"/>
        <w:rPr>
          <w:color w:val="000000"/>
          <w:sz w:val="24"/>
          <w:szCs w:val="24"/>
          <w:lang w:val="en-GB" w:eastAsia="it-IT"/>
        </w:rPr>
      </w:pPr>
      <w:r w:rsidRPr="001E01CB">
        <w:rPr>
          <w:color w:val="000000"/>
          <w:sz w:val="24"/>
          <w:szCs w:val="24"/>
          <w:lang w:val="en-GB" w:eastAsia="it-IT"/>
        </w:rPr>
        <w:t xml:space="preserve">Two SiC detectors were used simultaneously to </w:t>
      </w:r>
      <w:r w:rsidR="005B0CFA">
        <w:rPr>
          <w:color w:val="000000"/>
          <w:sz w:val="24"/>
          <w:szCs w:val="24"/>
          <w:lang w:val="en-GB" w:eastAsia="it-IT"/>
        </w:rPr>
        <w:t>measure</w:t>
      </w:r>
      <w:r w:rsidR="005B0CFA" w:rsidRPr="001E01CB">
        <w:rPr>
          <w:color w:val="000000"/>
          <w:sz w:val="24"/>
          <w:szCs w:val="24"/>
          <w:lang w:val="en-GB" w:eastAsia="it-IT"/>
        </w:rPr>
        <w:t xml:space="preserve"> </w:t>
      </w:r>
      <w:r w:rsidRPr="001E01CB">
        <w:rPr>
          <w:color w:val="000000"/>
          <w:sz w:val="24"/>
          <w:szCs w:val="24"/>
          <w:lang w:val="en-GB" w:eastAsia="it-IT"/>
        </w:rPr>
        <w:t xml:space="preserve">fast and thermal neutrons. Fast neutron attenuation was </w:t>
      </w:r>
      <w:r w:rsidR="00593F79">
        <w:rPr>
          <w:color w:val="000000"/>
          <w:sz w:val="24"/>
          <w:szCs w:val="24"/>
          <w:lang w:val="en-GB" w:eastAsia="it-IT"/>
        </w:rPr>
        <w:t>determined through</w:t>
      </w:r>
      <w:r w:rsidRPr="001E01CB">
        <w:rPr>
          <w:color w:val="000000"/>
          <w:sz w:val="24"/>
          <w:szCs w:val="24"/>
          <w:lang w:val="en-GB" w:eastAsia="it-IT"/>
        </w:rPr>
        <w:t xml:space="preserve"> the inelastic ¹²C(n,</w:t>
      </w:r>
      <w:r w:rsidRPr="001E01CB">
        <w:rPr>
          <w:color w:val="000000"/>
          <w:sz w:val="24"/>
          <w:szCs w:val="24"/>
          <w:lang w:val="it-IT" w:eastAsia="it-IT"/>
        </w:rPr>
        <w:t>α</w:t>
      </w:r>
      <w:r w:rsidRPr="001E01CB">
        <w:rPr>
          <w:color w:val="000000"/>
          <w:sz w:val="24"/>
          <w:szCs w:val="24"/>
          <w:lang w:val="en-GB" w:eastAsia="it-IT"/>
        </w:rPr>
        <w:t>)⁹Be and ²⁸Si(n,</w:t>
      </w:r>
      <w:r w:rsidRPr="001E01CB">
        <w:rPr>
          <w:color w:val="000000"/>
          <w:sz w:val="24"/>
          <w:szCs w:val="24"/>
          <w:lang w:val="it-IT" w:eastAsia="it-IT"/>
        </w:rPr>
        <w:t>α</w:t>
      </w:r>
      <w:r w:rsidRPr="001E01CB">
        <w:rPr>
          <w:color w:val="000000"/>
          <w:sz w:val="24"/>
          <w:szCs w:val="24"/>
          <w:lang w:val="en-GB" w:eastAsia="it-IT"/>
        </w:rPr>
        <w:t xml:space="preserve">)²⁵Mg reactions in the bare detector, while thermal neutrons were measured using the same detector coated with a thin ⁶LiF layer. Additionally, four identical ⁶Li-enriched Li-glass detectors were </w:t>
      </w:r>
      <w:r w:rsidR="00593F79">
        <w:rPr>
          <w:color w:val="000000"/>
          <w:sz w:val="24"/>
          <w:szCs w:val="24"/>
          <w:lang w:val="en-GB" w:eastAsia="it-IT"/>
        </w:rPr>
        <w:t>employed</w:t>
      </w:r>
      <w:r w:rsidR="00593F79" w:rsidRPr="001E01CB">
        <w:rPr>
          <w:color w:val="000000"/>
          <w:sz w:val="24"/>
          <w:szCs w:val="24"/>
          <w:lang w:val="en-GB" w:eastAsia="it-IT"/>
        </w:rPr>
        <w:t xml:space="preserve"> </w:t>
      </w:r>
      <w:r w:rsidRPr="001E01CB">
        <w:rPr>
          <w:color w:val="000000"/>
          <w:sz w:val="24"/>
          <w:szCs w:val="24"/>
          <w:lang w:val="en-GB" w:eastAsia="it-IT"/>
        </w:rPr>
        <w:t xml:space="preserve">in a separate campaign to </w:t>
      </w:r>
      <w:r w:rsidR="00593F79">
        <w:rPr>
          <w:color w:val="000000"/>
          <w:sz w:val="24"/>
          <w:szCs w:val="24"/>
          <w:lang w:val="en-GB" w:eastAsia="it-IT"/>
        </w:rPr>
        <w:t>assess</w:t>
      </w:r>
      <w:r w:rsidR="00593F79" w:rsidRPr="001E01CB">
        <w:rPr>
          <w:color w:val="000000"/>
          <w:sz w:val="24"/>
          <w:szCs w:val="24"/>
          <w:lang w:val="en-GB" w:eastAsia="it-IT"/>
        </w:rPr>
        <w:t xml:space="preserve"> </w:t>
      </w:r>
      <w:r w:rsidRPr="001E01CB">
        <w:rPr>
          <w:color w:val="000000"/>
          <w:sz w:val="24"/>
          <w:szCs w:val="24"/>
          <w:lang w:val="en-GB" w:eastAsia="it-IT"/>
        </w:rPr>
        <w:t xml:space="preserve">thermal neutron measurements. Both detector types were deployed at eleven identical </w:t>
      </w:r>
      <w:r w:rsidR="00593F79">
        <w:rPr>
          <w:color w:val="000000"/>
          <w:sz w:val="24"/>
          <w:szCs w:val="24"/>
          <w:lang w:val="en-GB" w:eastAsia="it-IT"/>
        </w:rPr>
        <w:t xml:space="preserve">measurement </w:t>
      </w:r>
      <w:r w:rsidRPr="001E01CB">
        <w:rPr>
          <w:color w:val="000000"/>
          <w:sz w:val="24"/>
          <w:szCs w:val="24"/>
          <w:lang w:val="en-GB" w:eastAsia="it-IT"/>
        </w:rPr>
        <w:t>positions.</w:t>
      </w:r>
    </w:p>
    <w:p w14:paraId="199B6A55" w14:textId="54F25C73" w:rsidR="001E01CB" w:rsidRPr="001E01CB" w:rsidRDefault="00593F79" w:rsidP="001E01CB">
      <w:pPr>
        <w:jc w:val="both"/>
        <w:rPr>
          <w:color w:val="000000"/>
          <w:sz w:val="24"/>
          <w:szCs w:val="24"/>
          <w:lang w:val="en-GB" w:eastAsia="it-IT"/>
        </w:rPr>
      </w:pPr>
      <w:r>
        <w:rPr>
          <w:color w:val="000000"/>
          <w:sz w:val="24"/>
          <w:szCs w:val="24"/>
          <w:lang w:val="en-GB" w:eastAsia="it-IT"/>
        </w:rPr>
        <w:t>Furthermore, t</w:t>
      </w:r>
      <w:r w:rsidR="001E01CB" w:rsidRPr="001E01CB">
        <w:rPr>
          <w:color w:val="000000"/>
          <w:sz w:val="24"/>
          <w:szCs w:val="24"/>
          <w:lang w:val="en-GB" w:eastAsia="it-IT"/>
        </w:rPr>
        <w:t xml:space="preserve">hree 1 m long Ce-doped optical fibres, including one co-doped with Gd, were placed at seven positions to </w:t>
      </w:r>
      <w:r>
        <w:rPr>
          <w:color w:val="000000"/>
          <w:sz w:val="24"/>
          <w:szCs w:val="24"/>
          <w:lang w:val="en-GB" w:eastAsia="it-IT"/>
        </w:rPr>
        <w:t>evaluate</w:t>
      </w:r>
      <w:r w:rsidRPr="001E01CB">
        <w:rPr>
          <w:color w:val="000000"/>
          <w:sz w:val="24"/>
          <w:szCs w:val="24"/>
          <w:lang w:val="en-GB" w:eastAsia="it-IT"/>
        </w:rPr>
        <w:t xml:space="preserve"> </w:t>
      </w:r>
      <w:r w:rsidR="001E01CB" w:rsidRPr="001E01CB">
        <w:rPr>
          <w:color w:val="000000"/>
          <w:sz w:val="24"/>
          <w:szCs w:val="24"/>
          <w:lang w:val="en-GB" w:eastAsia="it-IT"/>
        </w:rPr>
        <w:t xml:space="preserve">their capability to measure </w:t>
      </w:r>
      <w:r w:rsidR="00A7521B">
        <w:rPr>
          <w:color w:val="000000"/>
          <w:sz w:val="24"/>
          <w:szCs w:val="24"/>
          <w:lang w:val="en-GB" w:eastAsia="it-IT"/>
        </w:rPr>
        <w:t>the neutron flux at different penetration depths</w:t>
      </w:r>
      <w:r w:rsidR="001E01CB" w:rsidRPr="001E01CB">
        <w:rPr>
          <w:color w:val="000000"/>
          <w:sz w:val="24"/>
          <w:szCs w:val="24"/>
          <w:lang w:val="en-GB" w:eastAsia="it-IT"/>
        </w:rPr>
        <w:t>.</w:t>
      </w:r>
      <w:r w:rsidR="004A1D56">
        <w:rPr>
          <w:color w:val="000000"/>
          <w:sz w:val="24"/>
          <w:szCs w:val="24"/>
          <w:lang w:val="en-GB" w:eastAsia="it-IT"/>
        </w:rPr>
        <w:t xml:space="preserve"> </w:t>
      </w:r>
    </w:p>
    <w:p w14:paraId="7A4AEBE8" w14:textId="627288B1" w:rsidR="001E01CB" w:rsidRPr="001E01CB" w:rsidRDefault="001E01CB" w:rsidP="001E01CB">
      <w:pPr>
        <w:jc w:val="both"/>
        <w:rPr>
          <w:color w:val="000000"/>
          <w:sz w:val="24"/>
          <w:szCs w:val="24"/>
          <w:lang w:val="en-GB" w:eastAsia="it-IT"/>
        </w:rPr>
      </w:pPr>
      <w:r w:rsidRPr="001E01CB">
        <w:rPr>
          <w:color w:val="000000"/>
          <w:sz w:val="24"/>
          <w:szCs w:val="24"/>
          <w:lang w:val="en-GB" w:eastAsia="it-IT"/>
        </w:rPr>
        <w:t xml:space="preserve">The results are presented through a comparison of attenuation curves </w:t>
      </w:r>
      <w:r w:rsidR="00593F79">
        <w:rPr>
          <w:color w:val="000000"/>
          <w:sz w:val="24"/>
          <w:szCs w:val="24"/>
          <w:lang w:val="en-GB" w:eastAsia="it-IT"/>
        </w:rPr>
        <w:t xml:space="preserve">obtained </w:t>
      </w:r>
      <w:r w:rsidRPr="001E01CB">
        <w:rPr>
          <w:color w:val="000000"/>
          <w:sz w:val="24"/>
          <w:szCs w:val="24"/>
          <w:lang w:val="en-GB" w:eastAsia="it-IT"/>
        </w:rPr>
        <w:t xml:space="preserve">from all detectors. Together with activation foil measurements, this analysis provides improved insight into neutron behaviour in concrete, </w:t>
      </w:r>
      <w:r w:rsidR="00593F79">
        <w:rPr>
          <w:color w:val="000000"/>
          <w:sz w:val="24"/>
          <w:szCs w:val="24"/>
          <w:lang w:val="en-GB" w:eastAsia="it-IT"/>
        </w:rPr>
        <w:t xml:space="preserve">which is </w:t>
      </w:r>
      <w:r w:rsidRPr="001E01CB">
        <w:rPr>
          <w:color w:val="000000"/>
          <w:sz w:val="24"/>
          <w:szCs w:val="24"/>
          <w:lang w:val="en-GB" w:eastAsia="it-IT"/>
        </w:rPr>
        <w:t>a key shielding material in nuclear applications.</w:t>
      </w:r>
    </w:p>
    <w:p w14:paraId="0A719975" w14:textId="77777777" w:rsidR="00096AB2" w:rsidRPr="001E01CB" w:rsidRDefault="00096AB2" w:rsidP="00DB3E36">
      <w:pPr>
        <w:jc w:val="both"/>
        <w:rPr>
          <w:sz w:val="24"/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096AB2" w14:paraId="6AA624F1" w14:textId="77777777" w:rsidTr="0025113E">
        <w:trPr>
          <w:jc w:val="center"/>
        </w:trPr>
        <w:tc>
          <w:tcPr>
            <w:tcW w:w="2547" w:type="dxa"/>
            <w:vMerge w:val="restart"/>
          </w:tcPr>
          <w:p w14:paraId="2B232C56" w14:textId="606DF2F0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Type of contribution:</w:t>
            </w:r>
          </w:p>
        </w:tc>
        <w:tc>
          <w:tcPr>
            <w:tcW w:w="2835" w:type="dxa"/>
          </w:tcPr>
          <w:p w14:paraId="7F689842" w14:textId="4B64DABA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ACA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096AB2" w14:paraId="153A603A" w14:textId="77777777" w:rsidTr="0025113E">
        <w:trPr>
          <w:jc w:val="center"/>
        </w:trPr>
        <w:tc>
          <w:tcPr>
            <w:tcW w:w="2547" w:type="dxa"/>
            <w:vMerge/>
          </w:tcPr>
          <w:p w14:paraId="02E43341" w14:textId="77777777" w:rsidR="00096AB2" w:rsidRDefault="00096AB2" w:rsidP="0025113E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078F0834" w14:textId="50A75684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ACA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☒</w:t>
                </w:r>
              </w:sdtContent>
            </w:sdt>
          </w:p>
        </w:tc>
      </w:tr>
    </w:tbl>
    <w:p w14:paraId="284CF36C" w14:textId="77777777" w:rsidR="00096AB2" w:rsidRDefault="00096AB2" w:rsidP="00DB3E36">
      <w:pPr>
        <w:jc w:val="both"/>
        <w:rPr>
          <w:sz w:val="24"/>
        </w:rPr>
      </w:pPr>
    </w:p>
    <w:sectPr w:rsidR="00096AB2" w:rsidSect="00D956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DE80" w14:textId="77777777" w:rsidR="00C22C41" w:rsidRDefault="00C22C41">
      <w:r>
        <w:separator/>
      </w:r>
    </w:p>
  </w:endnote>
  <w:endnote w:type="continuationSeparator" w:id="0">
    <w:p w14:paraId="508209EC" w14:textId="77777777" w:rsidR="00C22C41" w:rsidRDefault="00C2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C857" w14:textId="77777777" w:rsidR="002C752D" w:rsidRDefault="002C75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25E3" w14:textId="77777777" w:rsidR="002C752D" w:rsidRDefault="002C75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91D" w14:textId="77777777" w:rsidR="002C752D" w:rsidRDefault="002C75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BDF5" w14:textId="77777777" w:rsidR="00C22C41" w:rsidRDefault="00C22C41">
      <w:r>
        <w:separator/>
      </w:r>
    </w:p>
  </w:footnote>
  <w:footnote w:type="continuationSeparator" w:id="0">
    <w:p w14:paraId="662D2574" w14:textId="77777777" w:rsidR="00C22C41" w:rsidRDefault="00C2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FC36" w14:textId="77777777" w:rsidR="002C752D" w:rsidRDefault="002C75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0DD7" w14:textId="77777777" w:rsidR="002C752D" w:rsidRDefault="002C75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0752" w14:textId="77777777" w:rsidR="002C752D" w:rsidRDefault="002C75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73358"/>
    <w:rsid w:val="000910FE"/>
    <w:rsid w:val="000942B0"/>
    <w:rsid w:val="00096AB2"/>
    <w:rsid w:val="000A7215"/>
    <w:rsid w:val="000C1E8B"/>
    <w:rsid w:val="00116ACA"/>
    <w:rsid w:val="001C2E1D"/>
    <w:rsid w:val="001E01CB"/>
    <w:rsid w:val="00207D6E"/>
    <w:rsid w:val="00226FDA"/>
    <w:rsid w:val="00251C69"/>
    <w:rsid w:val="002C752D"/>
    <w:rsid w:val="002D07B6"/>
    <w:rsid w:val="003B5145"/>
    <w:rsid w:val="003F175C"/>
    <w:rsid w:val="00454519"/>
    <w:rsid w:val="004801FA"/>
    <w:rsid w:val="004A1D56"/>
    <w:rsid w:val="004A73A3"/>
    <w:rsid w:val="004F3E02"/>
    <w:rsid w:val="00553659"/>
    <w:rsid w:val="00562297"/>
    <w:rsid w:val="00593F79"/>
    <w:rsid w:val="005B0CFA"/>
    <w:rsid w:val="005D14AD"/>
    <w:rsid w:val="006137CC"/>
    <w:rsid w:val="00636B4E"/>
    <w:rsid w:val="0064534E"/>
    <w:rsid w:val="00724EE4"/>
    <w:rsid w:val="00772B81"/>
    <w:rsid w:val="007921F1"/>
    <w:rsid w:val="007A0D98"/>
    <w:rsid w:val="007A67E8"/>
    <w:rsid w:val="007B29CD"/>
    <w:rsid w:val="007E575A"/>
    <w:rsid w:val="008046FA"/>
    <w:rsid w:val="00805BCC"/>
    <w:rsid w:val="00807A54"/>
    <w:rsid w:val="0081532D"/>
    <w:rsid w:val="00825123"/>
    <w:rsid w:val="0085430E"/>
    <w:rsid w:val="00866E67"/>
    <w:rsid w:val="008C024F"/>
    <w:rsid w:val="009737D6"/>
    <w:rsid w:val="00977F1C"/>
    <w:rsid w:val="00997693"/>
    <w:rsid w:val="00A0353E"/>
    <w:rsid w:val="00A31997"/>
    <w:rsid w:val="00A7521B"/>
    <w:rsid w:val="00A84D73"/>
    <w:rsid w:val="00AA1273"/>
    <w:rsid w:val="00B2354C"/>
    <w:rsid w:val="00B74092"/>
    <w:rsid w:val="00B83222"/>
    <w:rsid w:val="00C22C41"/>
    <w:rsid w:val="00C42F79"/>
    <w:rsid w:val="00C6543B"/>
    <w:rsid w:val="00CC10FD"/>
    <w:rsid w:val="00D11EC8"/>
    <w:rsid w:val="00D52D69"/>
    <w:rsid w:val="00D6465C"/>
    <w:rsid w:val="00D965D9"/>
    <w:rsid w:val="00DB3E36"/>
    <w:rsid w:val="00DD54E0"/>
    <w:rsid w:val="00E007B3"/>
    <w:rsid w:val="00E303B2"/>
    <w:rsid w:val="00E52F35"/>
    <w:rsid w:val="00E716CB"/>
    <w:rsid w:val="00E80D81"/>
    <w:rsid w:val="00E8630A"/>
    <w:rsid w:val="00F55DF9"/>
    <w:rsid w:val="00F61760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7CC"/>
    <w:rPr>
      <w:rFonts w:ascii="Times New Roman" w:eastAsia="Times New Roman" w:hAnsi="Times New Roman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B3E36"/>
    <w:pPr>
      <w:ind w:firstLine="360"/>
    </w:pPr>
  </w:style>
  <w:style w:type="character" w:styleId="Collegamentoipertestuale">
    <w:name w:val="Hyperlink"/>
    <w:uiPriority w:val="99"/>
    <w:unhideWhenUsed/>
    <w:rsid w:val="00DB3E3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Titolo1Carattere">
    <w:name w:val="Titolo 1 Carattere"/>
    <w:link w:val="Titolo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9C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93F79"/>
    <w:rPr>
      <w:rFonts w:ascii="Times New Roman" w:eastAsia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drea.colangeli@ene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91240-562E-4021-856C-81BB49CB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7d76e-4156-4210-9604-d2ff15f3146b"/>
    <ds:schemaRef ds:uri="232f2610-36d7-4e00-a50a-5418b612b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23DBF-88A7-4789-BEE1-3C007C095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34282-5ADC-4F0F-98CF-0A8AD42DFF5C}">
  <ds:schemaRefs>
    <ds:schemaRef ds:uri="http://schemas.microsoft.com/office/2006/metadata/properties"/>
    <ds:schemaRef ds:uri="http://schemas.microsoft.com/office/infopath/2007/PartnerControls"/>
    <ds:schemaRef ds:uri="232f2610-36d7-4e00-a50a-5418b612b21e"/>
    <ds:schemaRef ds:uri="dac7d76e-4156-4210-9604-d2ff15f314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MCNP® 2021 User Symposium Abstract Template</vt:lpstr>
    </vt:vector>
  </TitlesOfParts>
  <Company>LANL DCS-CSD</Company>
  <LinksUpToDate>false</LinksUpToDate>
  <CharactersWithSpaces>2817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Andrea Colangeli</cp:lastModifiedBy>
  <cp:revision>8</cp:revision>
  <dcterms:created xsi:type="dcterms:W3CDTF">2026-04-10T08:31:00Z</dcterms:created>
  <dcterms:modified xsi:type="dcterms:W3CDTF">2026-04-10T15:36:00Z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  <property fmtid="{D5CDD505-2E9C-101B-9397-08002B2CF9AE}" pid="3" name="GrammarlyDocumentId">
    <vt:lpwstr>baf551be-23b0-4172-a03b-0e17da63411d</vt:lpwstr>
  </property>
</Properties>
</file>