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4AA7B5" w14:textId="21A923DC" w:rsidR="00DB3E36" w:rsidRPr="00096AB2" w:rsidRDefault="00F8711A" w:rsidP="00DB3E36">
      <w:pPr>
        <w:jc w:val="center"/>
        <w:rPr>
          <w:b/>
          <w:sz w:val="28"/>
          <w:szCs w:val="24"/>
        </w:rPr>
      </w:pPr>
      <w:r>
        <w:rPr>
          <w:b/>
          <w:sz w:val="28"/>
          <w:szCs w:val="24"/>
        </w:rPr>
        <w:t xml:space="preserve">Assessment of </w:t>
      </w:r>
      <w:r w:rsidR="00E84B8B">
        <w:rPr>
          <w:b/>
          <w:sz w:val="28"/>
          <w:szCs w:val="24"/>
        </w:rPr>
        <w:t>irra</w:t>
      </w:r>
      <w:r w:rsidR="00637FF5">
        <w:rPr>
          <w:b/>
          <w:sz w:val="28"/>
          <w:szCs w:val="24"/>
        </w:rPr>
        <w:t>di</w:t>
      </w:r>
      <w:r w:rsidR="00146C12">
        <w:rPr>
          <w:b/>
          <w:sz w:val="28"/>
          <w:szCs w:val="24"/>
        </w:rPr>
        <w:t>ati</w:t>
      </w:r>
      <w:r w:rsidR="00637FF5">
        <w:rPr>
          <w:b/>
          <w:sz w:val="28"/>
          <w:szCs w:val="24"/>
        </w:rPr>
        <w:t xml:space="preserve">on modules </w:t>
      </w:r>
      <w:r>
        <w:rPr>
          <w:b/>
          <w:sz w:val="28"/>
          <w:szCs w:val="24"/>
        </w:rPr>
        <w:t>d</w:t>
      </w:r>
      <w:r w:rsidR="007955E5" w:rsidRPr="007955E5">
        <w:rPr>
          <w:b/>
          <w:sz w:val="28"/>
          <w:szCs w:val="24"/>
        </w:rPr>
        <w:t>iagnostics and capsule filling in IFMIF-DONES</w:t>
      </w:r>
    </w:p>
    <w:p w14:paraId="1610A4BF" w14:textId="77777777" w:rsidR="00DB3E36" w:rsidRPr="00663F85" w:rsidRDefault="00DB3E36" w:rsidP="00DB3E36">
      <w:pPr>
        <w:rPr>
          <w:b/>
          <w:sz w:val="24"/>
        </w:rPr>
      </w:pPr>
    </w:p>
    <w:p w14:paraId="6C35158C" w14:textId="6B766587" w:rsidR="007D4191" w:rsidRPr="00146C12" w:rsidRDefault="007D4191" w:rsidP="007D4191">
      <w:pPr>
        <w:suppressAutoHyphens/>
        <w:jc w:val="center"/>
        <w:rPr>
          <w:sz w:val="24"/>
          <w:lang w:val="es-ES" w:eastAsia="zh-CN"/>
        </w:rPr>
      </w:pPr>
      <w:r w:rsidRPr="005D374A">
        <w:rPr>
          <w:sz w:val="24"/>
          <w:lang w:val="es-ES" w:eastAsia="zh-CN"/>
        </w:rPr>
        <w:t>Irene Álvarez</w:t>
      </w:r>
      <w:r w:rsidRPr="005D374A">
        <w:rPr>
          <w:sz w:val="24"/>
          <w:vertAlign w:val="superscript"/>
          <w:lang w:val="es-ES" w:eastAsia="zh-CN"/>
        </w:rPr>
        <w:t>1</w:t>
      </w:r>
      <w:r w:rsidRPr="005D72F6">
        <w:rPr>
          <w:sz w:val="24"/>
          <w:lang w:val="es-ES" w:eastAsia="zh-CN"/>
        </w:rPr>
        <w:t xml:space="preserve">, </w:t>
      </w:r>
      <w:r>
        <w:rPr>
          <w:sz w:val="24"/>
          <w:lang w:val="es-ES" w:eastAsia="zh-CN"/>
        </w:rPr>
        <w:t xml:space="preserve">Miguel </w:t>
      </w:r>
      <w:r w:rsidRPr="00363923">
        <w:rPr>
          <w:sz w:val="24"/>
          <w:lang w:val="es-ES" w:eastAsia="zh-CN"/>
        </w:rPr>
        <w:t>Mac</w:t>
      </w:r>
      <w:r>
        <w:rPr>
          <w:sz w:val="24"/>
          <w:lang w:val="es-ES" w:eastAsia="zh-CN"/>
        </w:rPr>
        <w:t>í</w:t>
      </w:r>
      <w:r w:rsidRPr="00363923">
        <w:rPr>
          <w:sz w:val="24"/>
          <w:lang w:val="es-ES" w:eastAsia="zh-CN"/>
        </w:rPr>
        <w:t>as</w:t>
      </w:r>
      <w:r w:rsidRPr="00363923">
        <w:rPr>
          <w:sz w:val="24"/>
          <w:vertAlign w:val="superscript"/>
          <w:lang w:val="es-ES" w:eastAsia="zh-CN"/>
        </w:rPr>
        <w:t>1</w:t>
      </w:r>
      <w:r>
        <w:rPr>
          <w:sz w:val="24"/>
          <w:lang w:val="es-ES" w:eastAsia="zh-CN"/>
        </w:rPr>
        <w:t>,</w:t>
      </w:r>
      <w:r w:rsidRPr="00792CEF">
        <w:rPr>
          <w:sz w:val="24"/>
          <w:lang w:val="es-ES" w:eastAsia="zh-CN"/>
        </w:rPr>
        <w:t xml:space="preserve"> </w:t>
      </w:r>
      <w:r w:rsidR="00146C12" w:rsidRPr="00363923">
        <w:rPr>
          <w:sz w:val="24"/>
          <w:lang w:val="es-ES" w:eastAsia="zh-CN"/>
        </w:rPr>
        <w:t>J</w:t>
      </w:r>
      <w:r w:rsidR="00146C12">
        <w:rPr>
          <w:sz w:val="24"/>
          <w:lang w:val="es-ES" w:eastAsia="zh-CN"/>
        </w:rPr>
        <w:t>uan A. De la Torre</w:t>
      </w:r>
      <w:r w:rsidR="00146C12">
        <w:rPr>
          <w:sz w:val="24"/>
          <w:vertAlign w:val="superscript"/>
          <w:lang w:val="es-ES" w:eastAsia="zh-CN"/>
        </w:rPr>
        <w:t>2</w:t>
      </w:r>
      <w:r w:rsidR="00146C12">
        <w:rPr>
          <w:sz w:val="24"/>
          <w:lang w:val="es-ES" w:eastAsia="zh-CN"/>
        </w:rPr>
        <w:t>,</w:t>
      </w:r>
      <w:r w:rsidR="00146C12" w:rsidRPr="00EA535A">
        <w:rPr>
          <w:sz w:val="24"/>
          <w:lang w:val="es-ES" w:eastAsia="zh-CN"/>
        </w:rPr>
        <w:t xml:space="preserve"> </w:t>
      </w:r>
      <w:r w:rsidR="00146C12">
        <w:rPr>
          <w:sz w:val="24"/>
          <w:lang w:val="es-ES" w:eastAsia="zh-CN"/>
        </w:rPr>
        <w:t>Gonzalo M. Martín</w:t>
      </w:r>
      <w:r w:rsidR="00146C12" w:rsidRPr="005D72F6">
        <w:rPr>
          <w:sz w:val="24"/>
          <w:vertAlign w:val="superscript"/>
          <w:lang w:val="es-ES" w:eastAsia="zh-CN"/>
        </w:rPr>
        <w:t>1</w:t>
      </w:r>
      <w:r w:rsidR="00146C12">
        <w:rPr>
          <w:sz w:val="24"/>
          <w:lang w:val="es-ES" w:eastAsia="zh-CN"/>
        </w:rPr>
        <w:t>,</w:t>
      </w:r>
      <w:r w:rsidR="00146C12" w:rsidRPr="00EA535A">
        <w:rPr>
          <w:sz w:val="24"/>
          <w:lang w:val="es-ES" w:eastAsia="zh-CN"/>
        </w:rPr>
        <w:t xml:space="preserve"> </w:t>
      </w:r>
      <w:r w:rsidR="00146C12" w:rsidRPr="005D72F6">
        <w:rPr>
          <w:sz w:val="24"/>
          <w:lang w:val="es-ES" w:eastAsia="zh-CN"/>
        </w:rPr>
        <w:t>M</w:t>
      </w:r>
      <w:r w:rsidR="00146C12">
        <w:rPr>
          <w:sz w:val="24"/>
          <w:lang w:val="es-ES" w:eastAsia="zh-CN"/>
        </w:rPr>
        <w:t>arta</w:t>
      </w:r>
      <w:r w:rsidR="00146C12" w:rsidRPr="005D72F6">
        <w:rPr>
          <w:sz w:val="24"/>
          <w:lang w:val="es-ES" w:eastAsia="zh-CN"/>
        </w:rPr>
        <w:t xml:space="preserve"> Anguiano</w:t>
      </w:r>
      <w:r w:rsidR="00146C12">
        <w:rPr>
          <w:sz w:val="24"/>
          <w:vertAlign w:val="superscript"/>
          <w:lang w:val="es-ES" w:eastAsia="zh-CN"/>
        </w:rPr>
        <w:t>3</w:t>
      </w:r>
      <w:r w:rsidR="00146C12">
        <w:rPr>
          <w:sz w:val="24"/>
          <w:lang w:val="es-ES" w:eastAsia="zh-CN"/>
        </w:rPr>
        <w:t>, Alberto Artacho</w:t>
      </w:r>
      <w:r w:rsidR="00146C12" w:rsidRPr="00363923">
        <w:rPr>
          <w:sz w:val="24"/>
          <w:vertAlign w:val="superscript"/>
          <w:lang w:val="es-ES" w:eastAsia="zh-CN"/>
        </w:rPr>
        <w:t>1</w:t>
      </w:r>
      <w:r w:rsidR="00146C12">
        <w:rPr>
          <w:sz w:val="24"/>
          <w:lang w:val="es-ES" w:eastAsia="zh-CN"/>
        </w:rPr>
        <w:t>, Santiago Becerril</w:t>
      </w:r>
      <w:r w:rsidR="00146C12" w:rsidRPr="005D72F6">
        <w:rPr>
          <w:sz w:val="24"/>
          <w:vertAlign w:val="superscript"/>
          <w:lang w:val="es-ES" w:eastAsia="zh-CN"/>
        </w:rPr>
        <w:t>1</w:t>
      </w:r>
      <w:r w:rsidR="00146C12">
        <w:rPr>
          <w:sz w:val="24"/>
          <w:lang w:val="es-ES" w:eastAsia="zh-CN"/>
        </w:rPr>
        <w:t>, Luis Monasterio</w:t>
      </w:r>
      <w:r w:rsidR="00146C12" w:rsidRPr="00363923">
        <w:rPr>
          <w:sz w:val="24"/>
          <w:vertAlign w:val="superscript"/>
          <w:lang w:val="es-ES" w:eastAsia="zh-CN"/>
        </w:rPr>
        <w:t>1</w:t>
      </w:r>
      <w:r w:rsidR="00146C12">
        <w:rPr>
          <w:sz w:val="24"/>
          <w:lang w:val="es-ES" w:eastAsia="zh-CN"/>
        </w:rPr>
        <w:t xml:space="preserve">, </w:t>
      </w:r>
      <w:r w:rsidR="00146C12" w:rsidRPr="005D72F6">
        <w:rPr>
          <w:sz w:val="24"/>
          <w:lang w:val="es-ES" w:eastAsia="zh-CN"/>
        </w:rPr>
        <w:t>F</w:t>
      </w:r>
      <w:r w:rsidR="00146C12">
        <w:rPr>
          <w:sz w:val="24"/>
          <w:lang w:val="es-ES" w:eastAsia="zh-CN"/>
        </w:rPr>
        <w:t>ernando</w:t>
      </w:r>
      <w:r w:rsidR="00146C12" w:rsidRPr="005D72F6">
        <w:rPr>
          <w:sz w:val="24"/>
          <w:lang w:val="es-ES" w:eastAsia="zh-CN"/>
        </w:rPr>
        <w:t xml:space="preserve"> Mota</w:t>
      </w:r>
      <w:r w:rsidR="00146C12">
        <w:rPr>
          <w:sz w:val="24"/>
          <w:vertAlign w:val="superscript"/>
          <w:lang w:val="es-ES" w:eastAsia="zh-CN"/>
        </w:rPr>
        <w:t>4</w:t>
      </w:r>
      <w:r w:rsidR="00146C12">
        <w:rPr>
          <w:sz w:val="24"/>
          <w:lang w:val="es-ES" w:eastAsia="zh-CN"/>
        </w:rPr>
        <w:t>,</w:t>
      </w:r>
      <w:r w:rsidR="00146C12" w:rsidRPr="00146C12">
        <w:rPr>
          <w:sz w:val="24"/>
          <w:lang w:val="es-ES" w:eastAsia="zh-CN"/>
        </w:rPr>
        <w:t xml:space="preserve"> </w:t>
      </w:r>
      <w:r w:rsidR="00146C12">
        <w:rPr>
          <w:sz w:val="24"/>
          <w:lang w:val="es-ES" w:eastAsia="zh-CN"/>
        </w:rPr>
        <w:t>Iván Podadera</w:t>
      </w:r>
      <w:r w:rsidR="00146C12" w:rsidRPr="005D72F6">
        <w:rPr>
          <w:sz w:val="24"/>
          <w:vertAlign w:val="superscript"/>
          <w:lang w:val="es-ES" w:eastAsia="zh-CN"/>
        </w:rPr>
        <w:t>1</w:t>
      </w:r>
      <w:r w:rsidR="00146C12">
        <w:rPr>
          <w:sz w:val="24"/>
          <w:lang w:val="es-ES" w:eastAsia="zh-CN"/>
        </w:rPr>
        <w:t>,</w:t>
      </w:r>
      <w:r w:rsidR="00146C12">
        <w:rPr>
          <w:sz w:val="24"/>
          <w:lang w:val="es-ES" w:eastAsia="zh-CN"/>
        </w:rPr>
        <w:t xml:space="preserve"> </w:t>
      </w:r>
      <w:r w:rsidR="00146C12">
        <w:rPr>
          <w:sz w:val="24"/>
          <w:lang w:val="es-ES" w:eastAsia="zh-CN"/>
        </w:rPr>
        <w:t>Claudio Torregrosa-Martín</w:t>
      </w:r>
      <w:r w:rsidR="00146C12" w:rsidRPr="005D72F6">
        <w:rPr>
          <w:sz w:val="24"/>
          <w:vertAlign w:val="superscript"/>
          <w:lang w:val="es-ES" w:eastAsia="zh-CN"/>
        </w:rPr>
        <w:t>1</w:t>
      </w:r>
      <w:r w:rsidR="00146C12">
        <w:rPr>
          <w:sz w:val="24"/>
          <w:lang w:val="es-ES" w:eastAsia="zh-CN"/>
        </w:rPr>
        <w:t>,</w:t>
      </w:r>
      <w:r w:rsidR="00146C12">
        <w:rPr>
          <w:sz w:val="24"/>
          <w:lang w:val="es-ES" w:eastAsia="zh-CN"/>
        </w:rPr>
        <w:t xml:space="preserve"> Moisés Weber</w:t>
      </w:r>
      <w:r w:rsidR="00146C12" w:rsidRPr="005D72F6">
        <w:rPr>
          <w:sz w:val="24"/>
          <w:vertAlign w:val="superscript"/>
          <w:lang w:val="es-ES" w:eastAsia="zh-CN"/>
        </w:rPr>
        <w:t>1</w:t>
      </w:r>
    </w:p>
    <w:p w14:paraId="21C778EC" w14:textId="77777777" w:rsidR="00CD580A" w:rsidRPr="003C0DB2" w:rsidRDefault="00CD580A" w:rsidP="00CD580A">
      <w:pPr>
        <w:suppressAutoHyphens/>
        <w:jc w:val="center"/>
        <w:rPr>
          <w:sz w:val="24"/>
          <w:lang w:val="es-ES" w:eastAsia="zh-CN"/>
        </w:rPr>
      </w:pPr>
    </w:p>
    <w:p w14:paraId="7C76B8A4" w14:textId="77777777" w:rsidR="00CD580A" w:rsidRDefault="00CD580A" w:rsidP="00CD580A">
      <w:pPr>
        <w:suppressAutoHyphens/>
        <w:jc w:val="center"/>
        <w:rPr>
          <w:i/>
          <w:sz w:val="24"/>
          <w:lang w:val="es-ES" w:eastAsia="zh-CN"/>
        </w:rPr>
      </w:pPr>
      <w:r w:rsidRPr="003C0DB2">
        <w:rPr>
          <w:i/>
          <w:sz w:val="24"/>
          <w:vertAlign w:val="superscript"/>
          <w:lang w:val="es-ES" w:eastAsia="zh-CN"/>
        </w:rPr>
        <w:t>1</w:t>
      </w:r>
      <w:r w:rsidRPr="005D26E7">
        <w:rPr>
          <w:i/>
          <w:sz w:val="24"/>
          <w:lang w:val="es-ES" w:eastAsia="zh-CN"/>
        </w:rPr>
        <w:t>Consorcio IFMIF-DONES España, Granada, Spain</w:t>
      </w:r>
    </w:p>
    <w:p w14:paraId="64B06037" w14:textId="77777777" w:rsidR="00146C12" w:rsidRPr="00B06485" w:rsidRDefault="00146C12" w:rsidP="00146C12">
      <w:pPr>
        <w:suppressAutoHyphens/>
        <w:jc w:val="center"/>
        <w:rPr>
          <w:i/>
          <w:sz w:val="24"/>
          <w:lang w:val="es-ES" w:eastAsia="zh-CN"/>
        </w:rPr>
      </w:pPr>
      <w:r w:rsidRPr="00B06485">
        <w:rPr>
          <w:i/>
          <w:sz w:val="24"/>
          <w:vertAlign w:val="superscript"/>
          <w:lang w:val="es-ES" w:eastAsia="zh-CN"/>
        </w:rPr>
        <w:t>2</w:t>
      </w:r>
      <w:r w:rsidRPr="00B06485">
        <w:rPr>
          <w:i/>
          <w:sz w:val="24"/>
          <w:lang w:val="es-ES" w:eastAsia="zh-CN"/>
        </w:rPr>
        <w:t>Universidad Autónoma de Barcelona, B</w:t>
      </w:r>
      <w:r>
        <w:rPr>
          <w:i/>
          <w:sz w:val="24"/>
          <w:lang w:val="es-ES" w:eastAsia="zh-CN"/>
        </w:rPr>
        <w:t>arcelona, Spain</w:t>
      </w:r>
    </w:p>
    <w:p w14:paraId="5D67FFE9" w14:textId="77777777" w:rsidR="00146C12" w:rsidRPr="00531ABC" w:rsidRDefault="00146C12" w:rsidP="00146C12">
      <w:pPr>
        <w:suppressAutoHyphens/>
        <w:jc w:val="center"/>
        <w:rPr>
          <w:i/>
          <w:sz w:val="24"/>
          <w:lang w:val="es-ES" w:eastAsia="zh-CN"/>
        </w:rPr>
      </w:pPr>
      <w:r w:rsidRPr="00531ABC">
        <w:rPr>
          <w:i/>
          <w:sz w:val="24"/>
          <w:vertAlign w:val="superscript"/>
          <w:lang w:val="es-ES" w:eastAsia="zh-CN"/>
        </w:rPr>
        <w:t>3</w:t>
      </w:r>
      <w:r w:rsidRPr="00531ABC">
        <w:rPr>
          <w:i/>
          <w:sz w:val="24"/>
          <w:lang w:val="es-ES" w:eastAsia="zh-CN"/>
        </w:rPr>
        <w:t>Universidad de Granada, Granada, Spain</w:t>
      </w:r>
    </w:p>
    <w:p w14:paraId="2D6DB473" w14:textId="3AC2A687" w:rsidR="00146C12" w:rsidRDefault="00146C12" w:rsidP="00146C12">
      <w:pPr>
        <w:suppressAutoHyphens/>
        <w:jc w:val="center"/>
        <w:rPr>
          <w:i/>
          <w:sz w:val="24"/>
          <w:lang w:val="es-ES" w:eastAsia="zh-CN"/>
        </w:rPr>
      </w:pPr>
      <w:r w:rsidRPr="00531ABC">
        <w:rPr>
          <w:i/>
          <w:sz w:val="24"/>
          <w:vertAlign w:val="superscript"/>
          <w:lang w:val="es-ES" w:eastAsia="zh-CN"/>
        </w:rPr>
        <w:t>4</w:t>
      </w:r>
      <w:r w:rsidRPr="00531ABC">
        <w:rPr>
          <w:i/>
          <w:sz w:val="24"/>
          <w:lang w:val="es-ES" w:eastAsia="zh-CN"/>
        </w:rPr>
        <w:t>CIEMAT, Madrid, Spain</w:t>
      </w:r>
    </w:p>
    <w:p w14:paraId="0BC07B8A" w14:textId="549F0440" w:rsidR="00DB3E36" w:rsidRDefault="00DB3E36" w:rsidP="00E8630A">
      <w:pPr>
        <w:spacing w:after="120"/>
        <w:jc w:val="center"/>
        <w:rPr>
          <w:iCs/>
          <w:sz w:val="24"/>
        </w:rPr>
      </w:pPr>
      <w:r>
        <w:rPr>
          <w:iCs/>
          <w:sz w:val="24"/>
        </w:rPr>
        <w:t xml:space="preserve">Corresponding Author Email: </w:t>
      </w:r>
      <w:hyperlink r:id="rId9" w:history="1">
        <w:r w:rsidR="00CD580A" w:rsidRPr="000B7E1A">
          <w:rPr>
            <w:rStyle w:val="Hipervnculo"/>
            <w:iCs/>
            <w:sz w:val="24"/>
          </w:rPr>
          <w:t>irene.alvarez@</w:t>
        </w:r>
      </w:hyperlink>
      <w:r w:rsidR="00CD580A" w:rsidRPr="00CD580A">
        <w:rPr>
          <w:rStyle w:val="Hipervnculo"/>
          <w:iCs/>
          <w:sz w:val="24"/>
        </w:rPr>
        <w:t>ifmif-dones.es</w:t>
      </w:r>
      <w:r w:rsidR="007B29CD">
        <w:rPr>
          <w:iCs/>
          <w:sz w:val="24"/>
        </w:rPr>
        <w:t xml:space="preserve">   </w:t>
      </w:r>
    </w:p>
    <w:p w14:paraId="3A129630" w14:textId="77777777" w:rsidR="00E8630A" w:rsidRDefault="00E8630A" w:rsidP="00DB3E36">
      <w:pPr>
        <w:jc w:val="both"/>
        <w:rPr>
          <w:sz w:val="24"/>
        </w:rPr>
      </w:pPr>
    </w:p>
    <w:p w14:paraId="022C65B0" w14:textId="269E6623" w:rsidR="003F69F5" w:rsidRPr="00DA18B2" w:rsidRDefault="003F69F5" w:rsidP="003F69F5">
      <w:pPr>
        <w:suppressAutoHyphens/>
        <w:ind w:firstLine="720"/>
        <w:jc w:val="both"/>
        <w:rPr>
          <w:sz w:val="24"/>
          <w:lang w:val="en-GB" w:eastAsia="zh-CN"/>
        </w:rPr>
      </w:pPr>
      <w:r w:rsidRPr="00DA18B2">
        <w:rPr>
          <w:sz w:val="24"/>
          <w:lang w:val="en-GB" w:eastAsia="zh-CN"/>
        </w:rPr>
        <w:t>The materials proposed for nuclear fusion applications have yet to be fully characterized under the neutron irradiation conditions expected in future fusion reactors. IFMIF</w:t>
      </w:r>
      <w:r w:rsidRPr="00DA18B2">
        <w:rPr>
          <w:sz w:val="24"/>
          <w:lang w:val="en-GB" w:eastAsia="zh-CN"/>
        </w:rPr>
        <w:noBreakHyphen/>
        <w:t xml:space="preserve">DONES (International Fusion Materials Irradiation Facility – DEMO Oriented </w:t>
      </w:r>
      <w:proofErr w:type="spellStart"/>
      <w:r w:rsidRPr="00DA18B2">
        <w:rPr>
          <w:sz w:val="24"/>
          <w:lang w:val="en-GB" w:eastAsia="zh-CN"/>
        </w:rPr>
        <w:t>NEutron</w:t>
      </w:r>
      <w:proofErr w:type="spellEnd"/>
      <w:r w:rsidRPr="00DA18B2">
        <w:rPr>
          <w:sz w:val="24"/>
          <w:lang w:val="en-GB" w:eastAsia="zh-CN"/>
        </w:rPr>
        <w:t xml:space="preserve"> Source) has been conceived to address this </w:t>
      </w:r>
      <w:r>
        <w:rPr>
          <w:sz w:val="24"/>
          <w:lang w:val="en-GB" w:eastAsia="zh-CN"/>
        </w:rPr>
        <w:t>challenge</w:t>
      </w:r>
      <w:r w:rsidRPr="00DA18B2">
        <w:rPr>
          <w:sz w:val="24"/>
          <w:lang w:val="en-GB" w:eastAsia="zh-CN"/>
        </w:rPr>
        <w:t xml:space="preserve"> by irradiating materials under neutron conditions representative of tho</w:t>
      </w:r>
      <w:r w:rsidR="008B4510">
        <w:rPr>
          <w:sz w:val="24"/>
          <w:lang w:val="en-GB" w:eastAsia="zh-CN"/>
        </w:rPr>
        <w:t>se found</w:t>
      </w:r>
      <w:r w:rsidRPr="00DA18B2">
        <w:rPr>
          <w:sz w:val="24"/>
          <w:lang w:val="en-GB" w:eastAsia="zh-CN"/>
        </w:rPr>
        <w:t xml:space="preserve"> in fusion environments. In IFMIF</w:t>
      </w:r>
      <w:r w:rsidRPr="00DA18B2">
        <w:rPr>
          <w:sz w:val="24"/>
          <w:lang w:val="en-GB" w:eastAsia="zh-CN"/>
        </w:rPr>
        <w:noBreakHyphen/>
        <w:t>DONES, neutrons will be produced through the interaction of a 40 MeV, 125 mA deuteron beam</w:t>
      </w:r>
      <w:r w:rsidR="00E60817">
        <w:rPr>
          <w:sz w:val="24"/>
          <w:lang w:val="en-GB" w:eastAsia="zh-CN"/>
        </w:rPr>
        <w:t>,</w:t>
      </w:r>
      <w:r w:rsidRPr="00DA18B2">
        <w:rPr>
          <w:sz w:val="24"/>
          <w:lang w:val="en-GB" w:eastAsia="zh-CN"/>
        </w:rPr>
        <w:t xml:space="preserve"> with a thick liquid lithium target, where deuteron–lithium reactions generate a high</w:t>
      </w:r>
      <w:r w:rsidRPr="00DA18B2">
        <w:rPr>
          <w:sz w:val="24"/>
          <w:lang w:val="en-GB" w:eastAsia="zh-CN"/>
        </w:rPr>
        <w:noBreakHyphen/>
        <w:t>intensity neutron flux.</w:t>
      </w:r>
    </w:p>
    <w:p w14:paraId="7C45B486" w14:textId="77777777" w:rsidR="003F69F5" w:rsidRPr="00DB053E" w:rsidRDefault="003F69F5" w:rsidP="003F69F5">
      <w:pPr>
        <w:suppressAutoHyphens/>
        <w:ind w:firstLine="720"/>
        <w:jc w:val="both"/>
        <w:rPr>
          <w:sz w:val="24"/>
          <w:lang w:val="en-GB" w:eastAsia="zh-CN"/>
        </w:rPr>
      </w:pPr>
    </w:p>
    <w:p w14:paraId="689DCED9" w14:textId="71599190" w:rsidR="003F69F5" w:rsidRPr="0073116A" w:rsidRDefault="003F69F5" w:rsidP="003F69F5">
      <w:pPr>
        <w:suppressAutoHyphens/>
        <w:ind w:firstLine="720"/>
        <w:jc w:val="both"/>
        <w:rPr>
          <w:sz w:val="24"/>
          <w:lang w:val="en-GB" w:eastAsia="zh-CN"/>
        </w:rPr>
      </w:pPr>
      <w:r w:rsidRPr="00DB053E">
        <w:rPr>
          <w:sz w:val="24"/>
          <w:lang w:val="en-GB" w:eastAsia="zh-CN"/>
        </w:rPr>
        <w:t xml:space="preserve">Downstream of the lithium target, </w:t>
      </w:r>
      <w:r w:rsidR="00516D5C">
        <w:rPr>
          <w:sz w:val="24"/>
          <w:lang w:val="en-GB" w:eastAsia="zh-CN"/>
        </w:rPr>
        <w:t>different modules will be placed for the commissioning and operation phase</w:t>
      </w:r>
      <w:r w:rsidRPr="00DB053E">
        <w:rPr>
          <w:sz w:val="24"/>
          <w:lang w:val="en-GB" w:eastAsia="zh-CN"/>
        </w:rPr>
        <w:t>.</w:t>
      </w:r>
      <w:r>
        <w:rPr>
          <w:sz w:val="24"/>
          <w:lang w:val="en-GB" w:eastAsia="zh-CN"/>
        </w:rPr>
        <w:t xml:space="preserve"> These modules will host diagnostics to machine protection, beam monitoring and beam characterization.</w:t>
      </w:r>
      <w:r w:rsidRPr="00255339">
        <w:rPr>
          <w:sz w:val="24"/>
          <w:lang w:val="en-GB" w:eastAsia="zh-CN"/>
        </w:rPr>
        <w:t xml:space="preserve"> </w:t>
      </w:r>
      <w:r w:rsidRPr="00DB053E">
        <w:rPr>
          <w:sz w:val="24"/>
          <w:lang w:val="en-GB" w:eastAsia="zh-CN"/>
        </w:rPr>
        <w:t xml:space="preserve">Among the diagnostics currently considered are </w:t>
      </w:r>
      <w:r w:rsidR="00FF6701">
        <w:rPr>
          <w:sz w:val="24"/>
          <w:lang w:val="en-GB" w:eastAsia="zh-CN"/>
        </w:rPr>
        <w:t>i</w:t>
      </w:r>
      <w:r w:rsidRPr="00DB053E">
        <w:rPr>
          <w:sz w:val="24"/>
          <w:lang w:val="en-GB" w:eastAsia="zh-CN"/>
        </w:rPr>
        <w:t xml:space="preserve">onization </w:t>
      </w:r>
      <w:r w:rsidR="00FF6701">
        <w:rPr>
          <w:sz w:val="24"/>
          <w:lang w:val="en-GB" w:eastAsia="zh-CN"/>
        </w:rPr>
        <w:t>c</w:t>
      </w:r>
      <w:r w:rsidRPr="00DB053E">
        <w:rPr>
          <w:sz w:val="24"/>
          <w:lang w:val="en-GB" w:eastAsia="zh-CN"/>
        </w:rPr>
        <w:t xml:space="preserve">hambers, </w:t>
      </w:r>
      <w:r w:rsidR="00FF6701">
        <w:rPr>
          <w:sz w:val="24"/>
          <w:lang w:val="en-GB" w:eastAsia="zh-CN"/>
        </w:rPr>
        <w:t>f</w:t>
      </w:r>
      <w:r w:rsidRPr="00DB053E">
        <w:rPr>
          <w:sz w:val="24"/>
          <w:lang w:val="en-GB" w:eastAsia="zh-CN"/>
        </w:rPr>
        <w:t xml:space="preserve">ission </w:t>
      </w:r>
      <w:r w:rsidR="00FF6701">
        <w:rPr>
          <w:sz w:val="24"/>
          <w:lang w:val="en-GB" w:eastAsia="zh-CN"/>
        </w:rPr>
        <w:t>c</w:t>
      </w:r>
      <w:r w:rsidRPr="00DB053E">
        <w:rPr>
          <w:sz w:val="24"/>
          <w:lang w:val="en-GB" w:eastAsia="zh-CN"/>
        </w:rPr>
        <w:t xml:space="preserve">hambers, and </w:t>
      </w:r>
      <w:r w:rsidR="00FF6701">
        <w:rPr>
          <w:sz w:val="24"/>
          <w:lang w:val="en-GB" w:eastAsia="zh-CN"/>
        </w:rPr>
        <w:t>s</w:t>
      </w:r>
      <w:r w:rsidRPr="00DB053E">
        <w:rPr>
          <w:sz w:val="24"/>
          <w:lang w:val="en-GB" w:eastAsia="zh-CN"/>
        </w:rPr>
        <w:t>elf</w:t>
      </w:r>
      <w:r w:rsidRPr="00DB053E">
        <w:rPr>
          <w:sz w:val="24"/>
          <w:lang w:val="en-GB" w:eastAsia="zh-CN"/>
        </w:rPr>
        <w:noBreakHyphen/>
      </w:r>
      <w:r w:rsidR="00FF6701">
        <w:rPr>
          <w:sz w:val="24"/>
          <w:lang w:val="en-GB" w:eastAsia="zh-CN"/>
        </w:rPr>
        <w:t>p</w:t>
      </w:r>
      <w:r w:rsidRPr="00DB053E">
        <w:rPr>
          <w:sz w:val="24"/>
          <w:lang w:val="en-GB" w:eastAsia="zh-CN"/>
        </w:rPr>
        <w:t xml:space="preserve">owered </w:t>
      </w:r>
      <w:r w:rsidR="00FF6701">
        <w:rPr>
          <w:sz w:val="24"/>
          <w:lang w:val="en-GB" w:eastAsia="zh-CN"/>
        </w:rPr>
        <w:t>n</w:t>
      </w:r>
      <w:r w:rsidRPr="00DB053E">
        <w:rPr>
          <w:sz w:val="24"/>
          <w:lang w:val="en-GB" w:eastAsia="zh-CN"/>
        </w:rPr>
        <w:t xml:space="preserve">eutron </w:t>
      </w:r>
      <w:r w:rsidR="00FF6701">
        <w:rPr>
          <w:sz w:val="24"/>
          <w:lang w:val="en-GB" w:eastAsia="zh-CN"/>
        </w:rPr>
        <w:t>d</w:t>
      </w:r>
      <w:r w:rsidRPr="00DB053E">
        <w:rPr>
          <w:sz w:val="24"/>
          <w:lang w:val="en-GB" w:eastAsia="zh-CN"/>
        </w:rPr>
        <w:t>etectors.</w:t>
      </w:r>
      <w:r w:rsidR="00CA5D34">
        <w:rPr>
          <w:sz w:val="24"/>
          <w:lang w:val="en-GB" w:eastAsia="zh-CN"/>
        </w:rPr>
        <w:t xml:space="preserve"> </w:t>
      </w:r>
      <w:r w:rsidRPr="0073116A">
        <w:rPr>
          <w:sz w:val="24"/>
          <w:lang w:val="en-GB" w:eastAsia="zh-CN"/>
        </w:rPr>
        <w:t>To better understand the behaviour of these detectors in the IFMIF</w:t>
      </w:r>
      <w:r w:rsidRPr="0073116A">
        <w:rPr>
          <w:sz w:val="24"/>
          <w:lang w:val="en-GB" w:eastAsia="zh-CN"/>
        </w:rPr>
        <w:noBreakHyphen/>
        <w:t>DONES environment, theoretical sensitivity studies have been carried out. These studies aim to gain deeper insight into the influence of the detector design on the estimation of the induced current.</w:t>
      </w:r>
    </w:p>
    <w:p w14:paraId="09155B56" w14:textId="77777777" w:rsidR="003F69F5" w:rsidRDefault="003F69F5" w:rsidP="003F69F5">
      <w:pPr>
        <w:suppressAutoHyphens/>
        <w:ind w:firstLine="720"/>
        <w:jc w:val="both"/>
        <w:rPr>
          <w:sz w:val="24"/>
          <w:lang w:val="en-GB" w:eastAsia="zh-CN"/>
        </w:rPr>
      </w:pPr>
    </w:p>
    <w:p w14:paraId="6D222825" w14:textId="4CDD75F9" w:rsidR="0077135D" w:rsidRPr="005D374A" w:rsidRDefault="00C20EAB" w:rsidP="00C20EAB">
      <w:pPr>
        <w:suppressAutoHyphens/>
        <w:ind w:firstLine="720"/>
        <w:jc w:val="both"/>
        <w:rPr>
          <w:sz w:val="24"/>
          <w:lang w:val="en-GB" w:eastAsia="zh-CN"/>
        </w:rPr>
      </w:pPr>
      <w:r w:rsidRPr="00C20EAB">
        <w:rPr>
          <w:sz w:val="24"/>
          <w:lang w:val="en-GB" w:eastAsia="zh-CN"/>
        </w:rPr>
        <w:t>Moreover, to mitigate temperature gradients induced by gaps between specimens, the irradiation module capsules and diagnostics will be filled with a conductive material to ensure thermal homogenization.</w:t>
      </w:r>
      <w:r>
        <w:rPr>
          <w:sz w:val="24"/>
          <w:lang w:val="en-GB" w:eastAsia="zh-CN"/>
        </w:rPr>
        <w:t xml:space="preserve"> </w:t>
      </w:r>
      <w:r w:rsidR="0077135D" w:rsidRPr="005D374A">
        <w:rPr>
          <w:sz w:val="24"/>
          <w:lang w:val="en-GB" w:eastAsia="zh-CN"/>
        </w:rPr>
        <w:t>At present, sodium has been selected for this purpose, as it behaves as a liquid metal at irradiation temperature. However, sodium is corrosive to the specimen materials, which motivates the need to investigate</w:t>
      </w:r>
      <w:r w:rsidR="0077135D">
        <w:rPr>
          <w:sz w:val="24"/>
          <w:lang w:val="en-GB" w:eastAsia="zh-CN"/>
        </w:rPr>
        <w:t>, from the neutronic point of view,</w:t>
      </w:r>
      <w:r w:rsidR="0077135D" w:rsidRPr="005D374A">
        <w:rPr>
          <w:sz w:val="24"/>
          <w:lang w:val="en-GB" w:eastAsia="zh-CN"/>
        </w:rPr>
        <w:t xml:space="preserve"> alternative filling materials </w:t>
      </w:r>
      <w:r w:rsidR="00ED265B">
        <w:rPr>
          <w:sz w:val="24"/>
          <w:lang w:val="en-GB" w:eastAsia="zh-CN"/>
        </w:rPr>
        <w:t xml:space="preserve">in solid, liquid and gas states </w:t>
      </w:r>
      <w:r w:rsidR="0077135D" w:rsidRPr="005D374A">
        <w:rPr>
          <w:sz w:val="24"/>
          <w:lang w:val="en-GB" w:eastAsia="zh-CN"/>
        </w:rPr>
        <w:t>that can provide adequate thermal performance while ensuring material compatibility</w:t>
      </w:r>
      <w:r w:rsidR="00682081">
        <w:rPr>
          <w:sz w:val="24"/>
          <w:lang w:val="en-GB" w:eastAsia="zh-CN"/>
        </w:rPr>
        <w:t xml:space="preserve"> and w</w:t>
      </w:r>
      <w:r w:rsidR="00DF09E5">
        <w:rPr>
          <w:sz w:val="24"/>
          <w:lang w:val="en-GB" w:eastAsia="zh-CN"/>
        </w:rPr>
        <w:t xml:space="preserve">ithout jeopardizing the neutron doses received </w:t>
      </w:r>
      <w:r w:rsidR="00251E87">
        <w:rPr>
          <w:sz w:val="24"/>
          <w:lang w:val="en-GB" w:eastAsia="zh-CN"/>
        </w:rPr>
        <w:t>by the specimens</w:t>
      </w:r>
      <w:r w:rsidR="0077135D" w:rsidRPr="005D374A">
        <w:rPr>
          <w:sz w:val="24"/>
          <w:lang w:val="en-GB" w:eastAsia="zh-CN"/>
        </w:rPr>
        <w:t>.</w:t>
      </w:r>
    </w:p>
    <w:p w14:paraId="0D9F5382" w14:textId="77777777" w:rsidR="003F69F5" w:rsidRDefault="003F69F5" w:rsidP="003F69F5">
      <w:pPr>
        <w:suppressAutoHyphens/>
        <w:ind w:firstLine="720"/>
        <w:jc w:val="both"/>
        <w:rPr>
          <w:sz w:val="24"/>
          <w:lang w:val="en-GB" w:eastAsia="zh-CN"/>
        </w:rPr>
      </w:pPr>
    </w:p>
    <w:p w14:paraId="4CEC6963" w14:textId="77777777" w:rsidR="002B696F" w:rsidRPr="002B696F" w:rsidRDefault="002B696F" w:rsidP="002B696F">
      <w:pPr>
        <w:ind w:firstLine="720"/>
        <w:jc w:val="both"/>
        <w:rPr>
          <w:sz w:val="24"/>
          <w:lang w:val="en-GB" w:eastAsia="zh-CN"/>
        </w:rPr>
      </w:pPr>
      <w:r w:rsidRPr="002B696F">
        <w:rPr>
          <w:sz w:val="24"/>
          <w:lang w:val="en-GB" w:eastAsia="zh-CN"/>
        </w:rPr>
        <w:t>The assessment of the different designs and scenarios was carried out using calculations obtained from different Monte Carlo simulation codes.</w:t>
      </w:r>
    </w:p>
    <w:p w14:paraId="0E58296F" w14:textId="77777777" w:rsidR="00096AB2" w:rsidRDefault="00096AB2" w:rsidP="00DB3E36">
      <w:pPr>
        <w:jc w:val="both"/>
        <w:rPr>
          <w:sz w:val="24"/>
        </w:rPr>
      </w:pPr>
    </w:p>
    <w:p w14:paraId="0A719975" w14:textId="77777777" w:rsidR="00096AB2" w:rsidRDefault="00096AB2" w:rsidP="00DB3E36">
      <w:pPr>
        <w:jc w:val="both"/>
        <w:rPr>
          <w:sz w:val="24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2547"/>
        <w:gridCol w:w="2835"/>
      </w:tblGrid>
      <w:tr w:rsidR="00096AB2" w14:paraId="6AA624F1" w14:textId="77777777" w:rsidTr="0025113E">
        <w:trPr>
          <w:jc w:val="center"/>
        </w:trPr>
        <w:tc>
          <w:tcPr>
            <w:tcW w:w="2547" w:type="dxa"/>
            <w:vMerge w:val="restart"/>
          </w:tcPr>
          <w:p w14:paraId="2B232C56" w14:textId="606DF2F0" w:rsidR="00096AB2" w:rsidRDefault="00096AB2" w:rsidP="0025113E">
            <w:pPr>
              <w:rPr>
                <w:iCs/>
                <w:sz w:val="24"/>
              </w:rPr>
            </w:pPr>
            <w:r>
              <w:rPr>
                <w:iCs/>
                <w:sz w:val="24"/>
              </w:rPr>
              <w:t>Type of contribution:</w:t>
            </w:r>
          </w:p>
        </w:tc>
        <w:tc>
          <w:tcPr>
            <w:tcW w:w="2835" w:type="dxa"/>
          </w:tcPr>
          <w:p w14:paraId="7F689842" w14:textId="77777777" w:rsidR="00096AB2" w:rsidRDefault="00096AB2" w:rsidP="0025113E">
            <w:pPr>
              <w:rPr>
                <w:iCs/>
                <w:sz w:val="24"/>
              </w:rPr>
            </w:pPr>
            <w:r>
              <w:rPr>
                <w:iCs/>
                <w:sz w:val="24"/>
              </w:rPr>
              <w:t xml:space="preserve">Poster session               </w:t>
            </w:r>
            <w:sdt>
              <w:sdtPr>
                <w:rPr>
                  <w:b/>
                  <w:bCs/>
                  <w:iCs/>
                  <w:sz w:val="24"/>
                </w:rPr>
                <w:id w:val="-5061323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b/>
                    <w:bCs/>
                    <w:iCs/>
                    <w:sz w:val="24"/>
                  </w:rPr>
                  <w:t>☐</w:t>
                </w:r>
              </w:sdtContent>
            </w:sdt>
            <w:r>
              <w:rPr>
                <w:iCs/>
                <w:sz w:val="24"/>
              </w:rPr>
              <w:t xml:space="preserve"> </w:t>
            </w:r>
          </w:p>
        </w:tc>
      </w:tr>
      <w:tr w:rsidR="00096AB2" w14:paraId="153A603A" w14:textId="77777777" w:rsidTr="0025113E">
        <w:trPr>
          <w:jc w:val="center"/>
        </w:trPr>
        <w:tc>
          <w:tcPr>
            <w:tcW w:w="2547" w:type="dxa"/>
            <w:vMerge/>
          </w:tcPr>
          <w:p w14:paraId="02E43341" w14:textId="77777777" w:rsidR="00096AB2" w:rsidRDefault="00096AB2" w:rsidP="0025113E">
            <w:pPr>
              <w:rPr>
                <w:iCs/>
                <w:sz w:val="24"/>
              </w:rPr>
            </w:pPr>
          </w:p>
        </w:tc>
        <w:tc>
          <w:tcPr>
            <w:tcW w:w="2835" w:type="dxa"/>
          </w:tcPr>
          <w:p w14:paraId="078F0834" w14:textId="5748EA4D" w:rsidR="00096AB2" w:rsidRDefault="00096AB2" w:rsidP="0025113E">
            <w:pPr>
              <w:rPr>
                <w:iCs/>
                <w:sz w:val="24"/>
              </w:rPr>
            </w:pPr>
            <w:r>
              <w:rPr>
                <w:iCs/>
                <w:sz w:val="24"/>
              </w:rPr>
              <w:t xml:space="preserve">Oral Contribution         </w:t>
            </w:r>
            <w:sdt>
              <w:sdtPr>
                <w:rPr>
                  <w:b/>
                  <w:bCs/>
                  <w:iCs/>
                  <w:sz w:val="24"/>
                </w:rPr>
                <w:id w:val="-519542827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F69F5">
                  <w:rPr>
                    <w:rFonts w:ascii="MS Gothic" w:eastAsia="MS Gothic" w:hAnsi="MS Gothic" w:hint="eastAsia"/>
                    <w:b/>
                    <w:bCs/>
                    <w:iCs/>
                    <w:sz w:val="24"/>
                  </w:rPr>
                  <w:t>☒</w:t>
                </w:r>
              </w:sdtContent>
            </w:sdt>
          </w:p>
        </w:tc>
      </w:tr>
    </w:tbl>
    <w:p w14:paraId="284CF36C" w14:textId="77777777" w:rsidR="00096AB2" w:rsidRDefault="00096AB2" w:rsidP="00624B13">
      <w:pPr>
        <w:jc w:val="both"/>
        <w:rPr>
          <w:sz w:val="24"/>
        </w:rPr>
      </w:pPr>
    </w:p>
    <w:sectPr w:rsidR="00096AB2" w:rsidSect="00D956BD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138362" w14:textId="77777777" w:rsidR="004137B8" w:rsidRDefault="004137B8">
      <w:r>
        <w:separator/>
      </w:r>
    </w:p>
  </w:endnote>
  <w:endnote w:type="continuationSeparator" w:id="0">
    <w:p w14:paraId="4986C561" w14:textId="77777777" w:rsidR="004137B8" w:rsidRDefault="004137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67C857" w14:textId="77777777" w:rsidR="002C752D" w:rsidRDefault="002C752D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2725E3" w14:textId="77777777" w:rsidR="002C752D" w:rsidRDefault="002C752D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F3B91D" w14:textId="77777777" w:rsidR="002C752D" w:rsidRDefault="002C752D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AAAF82" w14:textId="77777777" w:rsidR="004137B8" w:rsidRDefault="004137B8">
      <w:r>
        <w:separator/>
      </w:r>
    </w:p>
  </w:footnote>
  <w:footnote w:type="continuationSeparator" w:id="0">
    <w:p w14:paraId="790D010F" w14:textId="77777777" w:rsidR="004137B8" w:rsidRDefault="004137B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FEFC36" w14:textId="77777777" w:rsidR="002C752D" w:rsidRDefault="002C752D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9A0DD7" w14:textId="77777777" w:rsidR="002C752D" w:rsidRDefault="002C752D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C20752" w14:textId="77777777" w:rsidR="002C752D" w:rsidRDefault="002C752D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xtLC0MDE3NTe0MDMwN7NU0lEKTi0uzszPAykwrAUAH6u8UywAAAA="/>
  </w:docVars>
  <w:rsids>
    <w:rsidRoot w:val="00DB3E36"/>
    <w:rsid w:val="00034571"/>
    <w:rsid w:val="00080292"/>
    <w:rsid w:val="000942B0"/>
    <w:rsid w:val="00096AB2"/>
    <w:rsid w:val="000C1E8B"/>
    <w:rsid w:val="000E51DA"/>
    <w:rsid w:val="001140B2"/>
    <w:rsid w:val="00146C12"/>
    <w:rsid w:val="00193B04"/>
    <w:rsid w:val="001C0CCC"/>
    <w:rsid w:val="001C2E1D"/>
    <w:rsid w:val="00223163"/>
    <w:rsid w:val="00251E87"/>
    <w:rsid w:val="002B696F"/>
    <w:rsid w:val="002C752D"/>
    <w:rsid w:val="002D07B6"/>
    <w:rsid w:val="002F1EF0"/>
    <w:rsid w:val="002F351E"/>
    <w:rsid w:val="00382DB6"/>
    <w:rsid w:val="003F69F5"/>
    <w:rsid w:val="003F738A"/>
    <w:rsid w:val="004108A0"/>
    <w:rsid w:val="004137B8"/>
    <w:rsid w:val="00421394"/>
    <w:rsid w:val="004A73A3"/>
    <w:rsid w:val="00516D5C"/>
    <w:rsid w:val="00553659"/>
    <w:rsid w:val="00562297"/>
    <w:rsid w:val="005D14AD"/>
    <w:rsid w:val="00624B13"/>
    <w:rsid w:val="00636B4E"/>
    <w:rsid w:val="00637FF5"/>
    <w:rsid w:val="00655EF0"/>
    <w:rsid w:val="00682081"/>
    <w:rsid w:val="006F0D3D"/>
    <w:rsid w:val="00724EE4"/>
    <w:rsid w:val="0077135D"/>
    <w:rsid w:val="007921F1"/>
    <w:rsid w:val="00793C8B"/>
    <w:rsid w:val="007955E5"/>
    <w:rsid w:val="007A5998"/>
    <w:rsid w:val="007A67E8"/>
    <w:rsid w:val="007B29CD"/>
    <w:rsid w:val="007D4191"/>
    <w:rsid w:val="00805BCC"/>
    <w:rsid w:val="00807A54"/>
    <w:rsid w:val="00842CE6"/>
    <w:rsid w:val="0085430E"/>
    <w:rsid w:val="00866E67"/>
    <w:rsid w:val="008B2E19"/>
    <w:rsid w:val="008B4510"/>
    <w:rsid w:val="008F205A"/>
    <w:rsid w:val="009737D6"/>
    <w:rsid w:val="00A31997"/>
    <w:rsid w:val="00A84D73"/>
    <w:rsid w:val="00AE4069"/>
    <w:rsid w:val="00B07180"/>
    <w:rsid w:val="00B74092"/>
    <w:rsid w:val="00B81982"/>
    <w:rsid w:val="00B83222"/>
    <w:rsid w:val="00C20EAB"/>
    <w:rsid w:val="00C77376"/>
    <w:rsid w:val="00CA1E10"/>
    <w:rsid w:val="00CA5D34"/>
    <w:rsid w:val="00CC07D5"/>
    <w:rsid w:val="00CD580A"/>
    <w:rsid w:val="00D30895"/>
    <w:rsid w:val="00D52D69"/>
    <w:rsid w:val="00DB01BD"/>
    <w:rsid w:val="00DB3E36"/>
    <w:rsid w:val="00DB7142"/>
    <w:rsid w:val="00DF09E5"/>
    <w:rsid w:val="00E007B3"/>
    <w:rsid w:val="00E31C50"/>
    <w:rsid w:val="00E60817"/>
    <w:rsid w:val="00E716CB"/>
    <w:rsid w:val="00E80D81"/>
    <w:rsid w:val="00E84B8B"/>
    <w:rsid w:val="00E8630A"/>
    <w:rsid w:val="00ED265B"/>
    <w:rsid w:val="00F2710F"/>
    <w:rsid w:val="00F43519"/>
    <w:rsid w:val="00F61760"/>
    <w:rsid w:val="00F8711A"/>
    <w:rsid w:val="00FC6CD5"/>
    <w:rsid w:val="00FF67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13AA83"/>
  <w15:chartTrackingRefBased/>
  <w15:docId w15:val="{279FD900-7582-47D9-A1AB-384B2AEE11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B3E36"/>
    <w:rPr>
      <w:rFonts w:ascii="Times New Roman" w:eastAsia="Times New Roman" w:hAnsi="Times New Roman"/>
      <w:lang w:eastAsia="ja-JP"/>
    </w:rPr>
  </w:style>
  <w:style w:type="paragraph" w:styleId="Ttulo1">
    <w:name w:val="heading 1"/>
    <w:basedOn w:val="Normal"/>
    <w:next w:val="Normal"/>
    <w:link w:val="Ttulo1Car"/>
    <w:uiPriority w:val="9"/>
    <w:qFormat/>
    <w:rsid w:val="002D07B6"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Paragraph">
    <w:name w:val="Paragraph"/>
    <w:basedOn w:val="Normal"/>
    <w:rsid w:val="00DB3E36"/>
    <w:pPr>
      <w:ind w:firstLine="360"/>
    </w:pPr>
  </w:style>
  <w:style w:type="character" w:styleId="Hipervnculo">
    <w:name w:val="Hyperlink"/>
    <w:uiPriority w:val="99"/>
    <w:unhideWhenUsed/>
    <w:rsid w:val="00DB3E36"/>
    <w:rPr>
      <w:color w:val="0000FF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DB3E36"/>
    <w:pPr>
      <w:tabs>
        <w:tab w:val="center" w:pos="4680"/>
        <w:tab w:val="right" w:pos="9360"/>
      </w:tabs>
    </w:pPr>
  </w:style>
  <w:style w:type="character" w:customStyle="1" w:styleId="EncabezadoCar">
    <w:name w:val="Encabezado Car"/>
    <w:link w:val="Encabezado"/>
    <w:uiPriority w:val="99"/>
    <w:rsid w:val="00DB3E36"/>
    <w:rPr>
      <w:rFonts w:ascii="Times New Roman" w:eastAsia="Times New Roman" w:hAnsi="Times New Roman" w:cs="Times New Roman"/>
      <w:sz w:val="20"/>
      <w:szCs w:val="20"/>
      <w:lang w:eastAsia="ja-JP"/>
    </w:rPr>
  </w:style>
  <w:style w:type="paragraph" w:styleId="Piedepgina">
    <w:name w:val="footer"/>
    <w:basedOn w:val="Normal"/>
    <w:link w:val="PiedepginaCar"/>
    <w:uiPriority w:val="99"/>
    <w:unhideWhenUsed/>
    <w:rsid w:val="00DB3E36"/>
    <w:pPr>
      <w:tabs>
        <w:tab w:val="center" w:pos="4680"/>
        <w:tab w:val="right" w:pos="9360"/>
      </w:tabs>
    </w:pPr>
  </w:style>
  <w:style w:type="character" w:customStyle="1" w:styleId="PiedepginaCar">
    <w:name w:val="Pie de página Car"/>
    <w:link w:val="Piedepgina"/>
    <w:uiPriority w:val="99"/>
    <w:rsid w:val="00DB3E36"/>
    <w:rPr>
      <w:rFonts w:ascii="Times New Roman" w:eastAsia="Times New Roman" w:hAnsi="Times New Roman" w:cs="Times New Roman"/>
      <w:sz w:val="20"/>
      <w:szCs w:val="20"/>
      <w:lang w:eastAsia="ja-JP"/>
    </w:rPr>
  </w:style>
  <w:style w:type="paragraph" w:styleId="Ttulo">
    <w:name w:val="Title"/>
    <w:basedOn w:val="Normal"/>
    <w:next w:val="Normal"/>
    <w:link w:val="TtuloCar"/>
    <w:uiPriority w:val="10"/>
    <w:qFormat/>
    <w:rsid w:val="00DB3E36"/>
    <w:pPr>
      <w:contextualSpacing/>
    </w:pPr>
    <w:rPr>
      <w:rFonts w:ascii="Calibri Light" w:hAnsi="Calibri Light"/>
      <w:spacing w:val="-10"/>
      <w:kern w:val="28"/>
      <w:sz w:val="56"/>
      <w:szCs w:val="56"/>
    </w:rPr>
  </w:style>
  <w:style w:type="character" w:customStyle="1" w:styleId="TtuloCar">
    <w:name w:val="Título Car"/>
    <w:link w:val="Ttulo"/>
    <w:uiPriority w:val="10"/>
    <w:rsid w:val="00DB3E36"/>
    <w:rPr>
      <w:rFonts w:ascii="Calibri Light" w:eastAsia="Times New Roman" w:hAnsi="Calibri Light" w:cs="Times New Roman"/>
      <w:spacing w:val="-10"/>
      <w:kern w:val="28"/>
      <w:sz w:val="56"/>
      <w:szCs w:val="56"/>
      <w:lang w:eastAsia="ja-JP"/>
    </w:rPr>
  </w:style>
  <w:style w:type="character" w:customStyle="1" w:styleId="Ttulo1Car">
    <w:name w:val="Título 1 Car"/>
    <w:link w:val="Ttulo1"/>
    <w:uiPriority w:val="9"/>
    <w:rsid w:val="002D07B6"/>
    <w:rPr>
      <w:rFonts w:ascii="Calibri Light" w:eastAsia="Times New Roman" w:hAnsi="Calibri Light" w:cs="Times New Roman"/>
      <w:color w:val="2E74B5"/>
      <w:sz w:val="32"/>
      <w:szCs w:val="32"/>
      <w:lang w:eastAsia="ja-JP"/>
    </w:rPr>
  </w:style>
  <w:style w:type="character" w:styleId="Mencinsinresolver">
    <w:name w:val="Unresolved Mention"/>
    <w:basedOn w:val="Fuentedeprrafopredeter"/>
    <w:uiPriority w:val="99"/>
    <w:semiHidden/>
    <w:unhideWhenUsed/>
    <w:rsid w:val="007B29CD"/>
    <w:rPr>
      <w:color w:val="605E5C"/>
      <w:shd w:val="clear" w:color="auto" w:fill="E1DFDD"/>
    </w:rPr>
  </w:style>
  <w:style w:type="table" w:styleId="Tablaconcuadrcula">
    <w:name w:val="Table Grid"/>
    <w:basedOn w:val="Tablanormal"/>
    <w:uiPriority w:val="39"/>
    <w:rsid w:val="009737D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n">
    <w:name w:val="Revision"/>
    <w:hidden/>
    <w:uiPriority w:val="99"/>
    <w:semiHidden/>
    <w:rsid w:val="00223163"/>
    <w:rPr>
      <w:rFonts w:ascii="Times New Roman" w:eastAsia="Times New Roman" w:hAnsi="Times New Roman"/>
      <w:lang w:eastAsia="ja-JP"/>
    </w:rPr>
  </w:style>
  <w:style w:type="character" w:styleId="Refdecomentario">
    <w:name w:val="annotation reference"/>
    <w:basedOn w:val="Fuentedeprrafopredeter"/>
    <w:uiPriority w:val="99"/>
    <w:semiHidden/>
    <w:unhideWhenUsed/>
    <w:rsid w:val="00DB01BD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DB01BD"/>
  </w:style>
  <w:style w:type="character" w:customStyle="1" w:styleId="TextocomentarioCar">
    <w:name w:val="Texto comentario Car"/>
    <w:basedOn w:val="Fuentedeprrafopredeter"/>
    <w:link w:val="Textocomentario"/>
    <w:uiPriority w:val="99"/>
    <w:rsid w:val="00DB01BD"/>
    <w:rPr>
      <w:rFonts w:ascii="Times New Roman" w:eastAsia="Times New Roman" w:hAnsi="Times New Roman"/>
      <w:lang w:eastAsia="ja-JP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DB01BD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DB01BD"/>
    <w:rPr>
      <w:rFonts w:ascii="Times New Roman" w:eastAsia="Times New Roman" w:hAnsi="Times New Roman"/>
      <w:b/>
      <w:bCs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  <w:doNotUseLongFileNames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mailto:irene.alvarez@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32f2610-36d7-4e00-a50a-5418b612b21e" xsi:nil="true"/>
    <lcf76f155ced4ddcb4097134ff3c332f xmlns="dac7d76e-4156-4210-9604-d2ff15f3146b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30721546272CD468B18464B66B4DFB7" ma:contentTypeVersion="13" ma:contentTypeDescription="Create a new document." ma:contentTypeScope="" ma:versionID="6ec0361c81a0d826427ce655ba51706c">
  <xsd:schema xmlns:xsd="http://www.w3.org/2001/XMLSchema" xmlns:xs="http://www.w3.org/2001/XMLSchema" xmlns:p="http://schemas.microsoft.com/office/2006/metadata/properties" xmlns:ns2="dac7d76e-4156-4210-9604-d2ff15f3146b" xmlns:ns3="232f2610-36d7-4e00-a50a-5418b612b21e" targetNamespace="http://schemas.microsoft.com/office/2006/metadata/properties" ma:root="true" ma:fieldsID="fab9b9f7b972699cccb08ebb2d27ca7e" ns2:_="" ns3:_="">
    <xsd:import namespace="dac7d76e-4156-4210-9604-d2ff15f3146b"/>
    <xsd:import namespace="232f2610-36d7-4e00-a50a-5418b612b21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SearchPropertie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ac7d76e-4156-4210-9604-d2ff15f3146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7c6641f5-0da7-4f48-9a81-ef320f60568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2f2610-36d7-4e00-a50a-5418b612b21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67a3bb72-24b6-4347-9801-efcbcc4b578f}" ma:internalName="TaxCatchAll" ma:showField="CatchAllData" ma:web="232f2610-36d7-4e00-a50a-5418b612b21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0D34282-5ADC-4F0F-98CF-0A8AD42DFF5C}">
  <ds:schemaRefs>
    <ds:schemaRef ds:uri="http://schemas.microsoft.com/office/2006/metadata/properties"/>
    <ds:schemaRef ds:uri="http://schemas.microsoft.com/office/infopath/2007/PartnerControls"/>
    <ds:schemaRef ds:uri="232f2610-36d7-4e00-a50a-5418b612b21e"/>
    <ds:schemaRef ds:uri="dac7d76e-4156-4210-9604-d2ff15f3146b"/>
  </ds:schemaRefs>
</ds:datastoreItem>
</file>

<file path=customXml/itemProps2.xml><?xml version="1.0" encoding="utf-8"?>
<ds:datastoreItem xmlns:ds="http://schemas.openxmlformats.org/officeDocument/2006/customXml" ds:itemID="{E1E91240-562E-4021-856C-81BB49CB00D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ac7d76e-4156-4210-9604-d2ff15f3146b"/>
    <ds:schemaRef ds:uri="232f2610-36d7-4e00-a50a-5418b612b21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4123DBF-88A7-4789-BEE1-3C007C095B0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364</Words>
  <Characters>2326</Characters>
  <Application>Microsoft Office Word</Application>
  <DocSecurity>0</DocSecurity>
  <Lines>48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MCNP® 2021 User Symposium Abstract Template</vt:lpstr>
    </vt:vector>
  </TitlesOfParts>
  <Company>LANL DCS-CSD</Company>
  <LinksUpToDate>false</LinksUpToDate>
  <CharactersWithSpaces>2676</CharactersWithSpaces>
  <SharedDoc>false</SharedDoc>
  <HyperlinkBase>MCNP® 2021 User Symposium Abstract Template</HyperlinkBase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MCNP® 2021 User Symposium Abstract Template</dc:title>
  <dc:subject>Abstract template</dc:subject>
  <dc:creator>Haag, Sarah Marie</dc:creator>
  <cp:keywords/>
  <dc:description/>
  <cp:lastModifiedBy>Irene Álvarez Castro</cp:lastModifiedBy>
  <cp:revision>2</cp:revision>
  <dcterms:created xsi:type="dcterms:W3CDTF">2026-04-15T11:10:00Z</dcterms:created>
  <dcterms:modified xsi:type="dcterms:W3CDTF">2026-04-15T11:10:00Z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0x010100730721546272CD468B18464B66B4DFB7</vt:lpwstr>
  </property>
</Properties>
</file>