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A7B5" w14:textId="46E2990D" w:rsidR="00DB3E36" w:rsidRPr="00096AB2" w:rsidRDefault="005554E5" w:rsidP="00DB3E36">
      <w:pPr>
        <w:jc w:val="center"/>
        <w:rPr>
          <w:b/>
          <w:sz w:val="28"/>
          <w:szCs w:val="24"/>
        </w:rPr>
      </w:pPr>
      <w:r>
        <w:rPr>
          <w:b/>
          <w:sz w:val="28"/>
          <w:szCs w:val="24"/>
        </w:rPr>
        <w:t>The TU-Dresden Neutron Generator</w:t>
      </w:r>
    </w:p>
    <w:p w14:paraId="1610A4BF" w14:textId="77777777" w:rsidR="00DB3E36" w:rsidRPr="00663F85" w:rsidRDefault="00DB3E36" w:rsidP="00DB3E36">
      <w:pPr>
        <w:rPr>
          <w:b/>
          <w:sz w:val="24"/>
        </w:rPr>
      </w:pPr>
    </w:p>
    <w:p w14:paraId="178CECA2" w14:textId="5A567088" w:rsidR="00DB3E36" w:rsidRPr="00FC6E22" w:rsidRDefault="00FC6E22" w:rsidP="00DB3E36">
      <w:pPr>
        <w:jc w:val="center"/>
        <w:rPr>
          <w:sz w:val="24"/>
          <w:lang w:val="de-DE"/>
        </w:rPr>
      </w:pPr>
      <w:r w:rsidRPr="00FC6E22">
        <w:rPr>
          <w:sz w:val="24"/>
          <w:lang w:val="de-DE"/>
        </w:rPr>
        <w:t>Björn Lehnert</w:t>
      </w:r>
      <w:r w:rsidR="00DB3E36" w:rsidRPr="00FC6E22">
        <w:rPr>
          <w:sz w:val="24"/>
          <w:vertAlign w:val="superscript"/>
          <w:lang w:val="de-DE"/>
        </w:rPr>
        <w:t>1</w:t>
      </w:r>
    </w:p>
    <w:p w14:paraId="145ED400" w14:textId="77777777" w:rsidR="00DB3E36" w:rsidRPr="00FC6E22" w:rsidRDefault="00DB3E36" w:rsidP="00DB3E36">
      <w:pPr>
        <w:rPr>
          <w:sz w:val="24"/>
          <w:lang w:val="de-DE"/>
        </w:rPr>
      </w:pPr>
    </w:p>
    <w:p w14:paraId="14F7D2FA" w14:textId="1DDA27B9" w:rsidR="00DB3E36" w:rsidRPr="00FC6E22" w:rsidRDefault="00DB3E36" w:rsidP="00DB3E36">
      <w:pPr>
        <w:jc w:val="center"/>
        <w:rPr>
          <w:i/>
          <w:sz w:val="24"/>
          <w:lang w:val="de-DE"/>
        </w:rPr>
      </w:pPr>
      <w:r w:rsidRPr="00FC6E22">
        <w:rPr>
          <w:i/>
          <w:sz w:val="24"/>
          <w:vertAlign w:val="superscript"/>
          <w:lang w:val="de-DE"/>
        </w:rPr>
        <w:t>1</w:t>
      </w:r>
      <w:r w:rsidR="00FC6E22" w:rsidRPr="00FC6E22">
        <w:rPr>
          <w:i/>
          <w:sz w:val="24"/>
          <w:lang w:val="de-DE"/>
        </w:rPr>
        <w:t>Technische</w:t>
      </w:r>
      <w:r w:rsidR="00FC6E22">
        <w:rPr>
          <w:i/>
          <w:sz w:val="24"/>
          <w:lang w:val="de-DE"/>
        </w:rPr>
        <w:t xml:space="preserve"> Universität Dresden, Institut für Kern- und Teilchenphysik </w:t>
      </w:r>
    </w:p>
    <w:p w14:paraId="0BC07B8A" w14:textId="09FCD740" w:rsidR="00DB3E36" w:rsidRPr="00FC6E22" w:rsidRDefault="00DB3E36" w:rsidP="00E8630A">
      <w:pPr>
        <w:spacing w:after="120"/>
        <w:jc w:val="center"/>
        <w:rPr>
          <w:iCs/>
          <w:sz w:val="24"/>
        </w:rPr>
      </w:pPr>
      <w:r w:rsidRPr="00FC6E22">
        <w:rPr>
          <w:iCs/>
          <w:sz w:val="24"/>
        </w:rPr>
        <w:t xml:space="preserve">Corresponding Author Email: </w:t>
      </w:r>
      <w:hyperlink r:id="rId9" w:history="1">
        <w:r w:rsidR="00FC6E22" w:rsidRPr="00FC6E22">
          <w:rPr>
            <w:rStyle w:val="Hyperlink"/>
            <w:iCs/>
            <w:sz w:val="24"/>
          </w:rPr>
          <w:t>bjoern.lehnert@tu-dresden.de</w:t>
        </w:r>
      </w:hyperlink>
      <w:r w:rsidR="007B29CD" w:rsidRPr="00FC6E22">
        <w:rPr>
          <w:iCs/>
          <w:sz w:val="24"/>
        </w:rPr>
        <w:t xml:space="preserve">   </w:t>
      </w:r>
    </w:p>
    <w:p w14:paraId="72501B66" w14:textId="77777777" w:rsidR="00DB3E36" w:rsidRPr="00FC6E22" w:rsidRDefault="00DB3E36" w:rsidP="00DB3E36">
      <w:pPr>
        <w:jc w:val="center"/>
        <w:rPr>
          <w:iCs/>
          <w:sz w:val="24"/>
          <w:u w:val="single"/>
        </w:rPr>
      </w:pPr>
    </w:p>
    <w:p w14:paraId="5C547FE8" w14:textId="3CF06E9E" w:rsidR="00FC6E22" w:rsidRP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r w:rsidRPr="00FC6E22">
        <w:rPr>
          <w:rFonts w:eastAsia="Calibri"/>
          <w:color w:val="0E0E0E"/>
          <w:sz w:val="24"/>
          <w:szCs w:val="24"/>
          <w:lang w:eastAsia="en-US"/>
        </w:rPr>
        <w:t xml:space="preserve">The TU Dresden Neutron Generator (TUD-NG) is an accelerator-driven deuterium–tritium (DT) neutron source designed for fusion-relevant irradiation experiments. The facility delivers deuterium beams of several milliampere onto a water-cooled tritium target, producing neutrons via the </w:t>
      </w:r>
      <w:r w:rsidRPr="00FC6E22">
        <w:rPr>
          <w:rFonts w:eastAsia="Calibri"/>
          <w:sz w:val="24"/>
          <w:szCs w:val="24"/>
          <w:vertAlign w:val="superscript"/>
          <w:lang w:eastAsia="en-US"/>
        </w:rPr>
        <w:t>3</w:t>
      </w:r>
      <w:r w:rsidRPr="00FC6E22">
        <w:rPr>
          <w:rFonts w:eastAsia="Calibri"/>
          <w:sz w:val="24"/>
          <w:szCs w:val="24"/>
          <w:lang w:eastAsia="en-US"/>
        </w:rPr>
        <w:t>H(d,n)</w:t>
      </w:r>
      <w:r w:rsidRPr="00FC6E22">
        <w:rPr>
          <w:rFonts w:eastAsia="Calibri"/>
          <w:sz w:val="24"/>
          <w:szCs w:val="24"/>
          <w:vertAlign w:val="superscript"/>
          <w:lang w:eastAsia="en-US"/>
        </w:rPr>
        <w:t>4</w:t>
      </w:r>
      <w:r w:rsidRPr="00FC6E22">
        <w:rPr>
          <w:rFonts w:eastAsia="Calibri"/>
          <w:sz w:val="24"/>
          <w:szCs w:val="24"/>
          <w:lang w:eastAsia="en-US"/>
        </w:rPr>
        <w:t>He</w:t>
      </w:r>
      <w:r w:rsidRPr="00FC6E22">
        <w:rPr>
          <w:rFonts w:eastAsia="Calibri"/>
          <w:color w:val="0E0E0E"/>
          <w:sz w:val="24"/>
          <w:szCs w:val="24"/>
          <w:lang w:eastAsia="en-US"/>
        </w:rPr>
        <w:t xml:space="preserve"> reaction with energies around 14 MeV. The source is designed to reach neutron yields of up to </w:t>
      </w:r>
      <w:r w:rsidRPr="00FC6E22">
        <w:rPr>
          <w:rFonts w:eastAsia="Calibri"/>
          <w:sz w:val="24"/>
          <w:szCs w:val="24"/>
          <w:lang w:eastAsia="en-US"/>
        </w:rPr>
        <w:t>10</w:t>
      </w:r>
      <w:r w:rsidRPr="00FC6E22">
        <w:rPr>
          <w:rFonts w:eastAsia="Calibri"/>
          <w:sz w:val="24"/>
          <w:szCs w:val="24"/>
          <w:vertAlign w:val="superscript"/>
          <w:lang w:eastAsia="en-US"/>
        </w:rPr>
        <w:t>12</w:t>
      </w:r>
      <w:r>
        <w:rPr>
          <w:rFonts w:eastAsia="Calibri"/>
          <w:sz w:val="24"/>
          <w:szCs w:val="24"/>
          <w:lang w:eastAsia="en-US"/>
        </w:rPr>
        <w:t xml:space="preserve"> </w:t>
      </w:r>
      <w:r w:rsidRPr="00FC6E22">
        <w:rPr>
          <w:rFonts w:eastAsia="Calibri"/>
          <w:sz w:val="24"/>
          <w:szCs w:val="24"/>
          <w:lang w:eastAsia="en-US"/>
        </w:rPr>
        <w:t>n/s</w:t>
      </w:r>
      <w:r w:rsidRPr="00FC6E22">
        <w:rPr>
          <w:rFonts w:eastAsia="Calibri"/>
          <w:color w:val="0E0E0E"/>
          <w:sz w:val="24"/>
          <w:szCs w:val="24"/>
          <w:lang w:eastAsia="en-US"/>
        </w:rPr>
        <w:t xml:space="preserve"> with nearly isotropic emission, making it the most intense DT neutron sources in Europe.</w:t>
      </w:r>
    </w:p>
    <w:p w14:paraId="30BBC2B2" w14:textId="77777777" w:rsidR="00FC6E22" w:rsidRP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p>
    <w:p w14:paraId="2E28F138" w14:textId="11AA8C4D" w:rsidR="00FC6E22" w:rsidRP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r w:rsidRPr="00FC6E22">
        <w:rPr>
          <w:rFonts w:eastAsia="Calibri"/>
          <w:color w:val="0E0E0E"/>
          <w:sz w:val="24"/>
          <w:szCs w:val="24"/>
          <w:lang w:eastAsia="en-US"/>
        </w:rPr>
        <w:t>Originally commissioned in 200</w:t>
      </w:r>
      <w:r>
        <w:rPr>
          <w:rFonts w:eastAsia="Calibri"/>
          <w:color w:val="0E0E0E"/>
          <w:sz w:val="24"/>
          <w:szCs w:val="24"/>
          <w:lang w:eastAsia="en-US"/>
        </w:rPr>
        <w:t>3</w:t>
      </w:r>
      <w:r w:rsidRPr="00FC6E22">
        <w:rPr>
          <w:rFonts w:eastAsia="Calibri"/>
          <w:color w:val="0E0E0E"/>
          <w:sz w:val="24"/>
          <w:szCs w:val="24"/>
          <w:lang w:eastAsia="en-US"/>
        </w:rPr>
        <w:t xml:space="preserve">, the facility has been used intermittently for applications in fusion research, astroparticle physics, and nuclear astrophysics. Current efforts aim to significantly expand its operation and transform </w:t>
      </w:r>
      <w:r>
        <w:rPr>
          <w:rFonts w:eastAsia="Calibri"/>
          <w:color w:val="0E0E0E"/>
          <w:sz w:val="24"/>
          <w:szCs w:val="24"/>
          <w:lang w:eastAsia="en-US"/>
        </w:rPr>
        <w:t xml:space="preserve">the </w:t>
      </w:r>
      <w:r w:rsidRPr="00FC6E22">
        <w:rPr>
          <w:rFonts w:eastAsia="Calibri"/>
          <w:color w:val="0E0E0E"/>
          <w:sz w:val="24"/>
          <w:szCs w:val="24"/>
          <w:lang w:eastAsia="en-US"/>
        </w:rPr>
        <w:t>TUD-NG into a dedicated user facility for German and European fusion research.</w:t>
      </w:r>
    </w:p>
    <w:p w14:paraId="73BAC0EA" w14:textId="77777777" w:rsidR="00FC6E22" w:rsidRP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p>
    <w:p w14:paraId="2D9F4C7E" w14:textId="77777777" w:rsid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r w:rsidRPr="00FC6E22">
        <w:rPr>
          <w:rFonts w:eastAsia="Calibri"/>
          <w:color w:val="0E0E0E"/>
          <w:sz w:val="24"/>
          <w:szCs w:val="24"/>
          <w:lang w:eastAsia="en-US"/>
        </w:rPr>
        <w:t xml:space="preserve">The experimental infrastructure enables irradiation studies of materials and components under fusion-relevant neutron spectra, activation measurements for the validation of nuclear data and transport simulations, and investigations of key processes such as tritium breeding. By providing flexible and comparatively rapid access to 14 MeV neutrons, </w:t>
      </w:r>
      <w:r>
        <w:rPr>
          <w:rFonts w:eastAsia="Calibri"/>
          <w:color w:val="0E0E0E"/>
          <w:sz w:val="24"/>
          <w:szCs w:val="24"/>
          <w:lang w:eastAsia="en-US"/>
        </w:rPr>
        <w:t xml:space="preserve">the </w:t>
      </w:r>
      <w:r w:rsidRPr="00FC6E22">
        <w:rPr>
          <w:rFonts w:eastAsia="Calibri"/>
          <w:color w:val="0E0E0E"/>
          <w:sz w:val="24"/>
          <w:szCs w:val="24"/>
          <w:lang w:eastAsia="en-US"/>
        </w:rPr>
        <w:t>TUD-NG is positioned to bridge the gap between small laboratory sources and future large-scale facilities.</w:t>
      </w:r>
    </w:p>
    <w:p w14:paraId="4C095A4D" w14:textId="77777777" w:rsid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p>
    <w:p w14:paraId="3FB09429" w14:textId="534653CA" w:rsidR="00FC6E22" w:rsidRPr="00FC6E22" w:rsidRDefault="00FC6E22" w:rsidP="00FC6E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eastAsia="Calibri"/>
          <w:color w:val="0E0E0E"/>
          <w:sz w:val="24"/>
          <w:szCs w:val="24"/>
          <w:lang w:eastAsia="en-US"/>
        </w:rPr>
      </w:pPr>
      <w:r w:rsidRPr="00FC6E22">
        <w:rPr>
          <w:rFonts w:eastAsia="Calibri"/>
          <w:color w:val="0E0E0E"/>
          <w:sz w:val="24"/>
          <w:szCs w:val="24"/>
          <w:lang w:eastAsia="en-US"/>
        </w:rPr>
        <w:t>In this contribution, the design and performance characteristics of TUD-NG are presented, together with plans and ongoing developments toward user operations.</w:t>
      </w:r>
    </w:p>
    <w:p w14:paraId="583F5A5C" w14:textId="77777777" w:rsidR="00096AB2" w:rsidRDefault="00096AB2" w:rsidP="00DB3E36">
      <w:pPr>
        <w:jc w:val="both"/>
        <w:rPr>
          <w:sz w:val="24"/>
        </w:rPr>
      </w:pPr>
    </w:p>
    <w:p w14:paraId="1F1FA641" w14:textId="77777777" w:rsidR="00096AB2" w:rsidRDefault="00096AB2" w:rsidP="00DB3E36">
      <w:pPr>
        <w:jc w:val="both"/>
        <w:rPr>
          <w:sz w:val="24"/>
        </w:rPr>
      </w:pPr>
    </w:p>
    <w:p w14:paraId="6EDD6198" w14:textId="77777777" w:rsidR="00096AB2" w:rsidRDefault="00096AB2" w:rsidP="00DB3E36">
      <w:pPr>
        <w:jc w:val="both"/>
        <w:rPr>
          <w:sz w:val="24"/>
        </w:rPr>
      </w:pPr>
    </w:p>
    <w:p w14:paraId="1F1217A5" w14:textId="77777777" w:rsidR="00096AB2" w:rsidRDefault="00096AB2" w:rsidP="00DB3E36">
      <w:pPr>
        <w:jc w:val="both"/>
        <w:rPr>
          <w:sz w:val="24"/>
        </w:rPr>
      </w:pPr>
    </w:p>
    <w:p w14:paraId="6ED62542" w14:textId="77777777" w:rsidR="00096AB2" w:rsidRDefault="00096AB2" w:rsidP="00DB3E36">
      <w:pPr>
        <w:jc w:val="both"/>
        <w:rPr>
          <w:sz w:val="24"/>
        </w:rPr>
      </w:pPr>
    </w:p>
    <w:p w14:paraId="0E58296F" w14:textId="77777777" w:rsidR="00096AB2" w:rsidRDefault="00096AB2" w:rsidP="00DB3E36">
      <w:pPr>
        <w:jc w:val="both"/>
        <w:rPr>
          <w:sz w:val="24"/>
        </w:rPr>
      </w:pPr>
    </w:p>
    <w:p w14:paraId="0A719975" w14:textId="77777777" w:rsidR="00096AB2" w:rsidRDefault="00096AB2" w:rsidP="00DB3E36">
      <w:pPr>
        <w:jc w:val="both"/>
        <w:rPr>
          <w:sz w:val="24"/>
        </w:rPr>
      </w:pP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77777777"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789C4572"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FC6E22">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71EF" w14:textId="77777777" w:rsidR="001048C9" w:rsidRDefault="001048C9">
      <w:r>
        <w:separator/>
      </w:r>
    </w:p>
  </w:endnote>
  <w:endnote w:type="continuationSeparator" w:id="0">
    <w:p w14:paraId="7FE809BB" w14:textId="77777777" w:rsidR="001048C9" w:rsidRDefault="0010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20DF" w14:textId="77777777" w:rsidR="001048C9" w:rsidRDefault="001048C9">
      <w:r>
        <w:separator/>
      </w:r>
    </w:p>
  </w:footnote>
  <w:footnote w:type="continuationSeparator" w:id="0">
    <w:p w14:paraId="7344AD01" w14:textId="77777777" w:rsidR="001048C9" w:rsidRDefault="0010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942B0"/>
    <w:rsid w:val="00096AB2"/>
    <w:rsid w:val="000C1E8B"/>
    <w:rsid w:val="001048C9"/>
    <w:rsid w:val="001C2E1D"/>
    <w:rsid w:val="002C752D"/>
    <w:rsid w:val="002D07B6"/>
    <w:rsid w:val="004A73A3"/>
    <w:rsid w:val="00553659"/>
    <w:rsid w:val="005554E5"/>
    <w:rsid w:val="00562297"/>
    <w:rsid w:val="005D14AD"/>
    <w:rsid w:val="00636B4E"/>
    <w:rsid w:val="00724EE4"/>
    <w:rsid w:val="007921F1"/>
    <w:rsid w:val="007A67E8"/>
    <w:rsid w:val="007B29CD"/>
    <w:rsid w:val="00805BCC"/>
    <w:rsid w:val="00807A54"/>
    <w:rsid w:val="0085430E"/>
    <w:rsid w:val="00866E67"/>
    <w:rsid w:val="009737D6"/>
    <w:rsid w:val="009C5001"/>
    <w:rsid w:val="00A31997"/>
    <w:rsid w:val="00A84D73"/>
    <w:rsid w:val="00AA4C5A"/>
    <w:rsid w:val="00B74092"/>
    <w:rsid w:val="00B83222"/>
    <w:rsid w:val="00D52D69"/>
    <w:rsid w:val="00DB3E36"/>
    <w:rsid w:val="00E007B3"/>
    <w:rsid w:val="00E716CB"/>
    <w:rsid w:val="00E80D81"/>
    <w:rsid w:val="00E8630A"/>
    <w:rsid w:val="00F61760"/>
    <w:rsid w:val="00FC6CD5"/>
    <w:rsid w:val="00FC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6E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joern.lehnert@tu-dresden.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1751</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Lehnert, Björn</cp:lastModifiedBy>
  <cp:revision>2</cp:revision>
  <dcterms:created xsi:type="dcterms:W3CDTF">2026-04-27T17:26:00Z</dcterms:created>
  <dcterms:modified xsi:type="dcterms:W3CDTF">2026-04-27T17:26:00Z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