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2281" w14:textId="7A796586" w:rsidR="008124FE" w:rsidRPr="008124FE" w:rsidRDefault="008124FE" w:rsidP="008124FE">
      <w:pPr>
        <w:jc w:val="center"/>
        <w:rPr>
          <w:b/>
          <w:sz w:val="28"/>
          <w:szCs w:val="24"/>
          <w:lang w:val="en-GB"/>
        </w:rPr>
      </w:pPr>
      <w:r w:rsidRPr="008124FE">
        <w:rPr>
          <w:b/>
          <w:bCs/>
          <w:sz w:val="28"/>
          <w:szCs w:val="24"/>
          <w:lang w:val="en-GB"/>
        </w:rPr>
        <w:t>Parametric Multiphysics Workflow for Evaluating</w:t>
      </w:r>
    </w:p>
    <w:p w14:paraId="474AA7B5" w14:textId="0E159E83" w:rsidR="00DB3E36" w:rsidRPr="00096AB2" w:rsidRDefault="008124FE" w:rsidP="008124FE">
      <w:pPr>
        <w:jc w:val="center"/>
        <w:rPr>
          <w:b/>
          <w:sz w:val="28"/>
          <w:szCs w:val="24"/>
        </w:rPr>
      </w:pPr>
      <w:r w:rsidRPr="008124FE">
        <w:rPr>
          <w:b/>
          <w:bCs/>
          <w:sz w:val="28"/>
          <w:szCs w:val="24"/>
          <w:lang w:val="en-GB"/>
        </w:rPr>
        <w:t>Tritium Breeder Blanket Performance</w:t>
      </w:r>
    </w:p>
    <w:p w14:paraId="1610A4BF" w14:textId="77777777" w:rsidR="00DB3E36" w:rsidRPr="00663F85" w:rsidRDefault="00DB3E36" w:rsidP="00DB3E36">
      <w:pPr>
        <w:rPr>
          <w:b/>
          <w:sz w:val="24"/>
        </w:rPr>
      </w:pPr>
    </w:p>
    <w:p w14:paraId="178CECA2" w14:textId="6A9CCD8A" w:rsidR="00DB3E36" w:rsidRPr="008124FE" w:rsidRDefault="008124FE" w:rsidP="00DB3E36">
      <w:pPr>
        <w:jc w:val="center"/>
        <w:rPr>
          <w:sz w:val="24"/>
          <w:lang w:val="es-ES"/>
        </w:rPr>
      </w:pPr>
      <w:r w:rsidRPr="008124FE">
        <w:rPr>
          <w:sz w:val="24"/>
          <w:lang w:val="es-ES"/>
        </w:rPr>
        <w:t>Alexandre Sureda Croguennoc</w:t>
      </w:r>
      <w:r w:rsidR="00DB3E36" w:rsidRPr="008124FE">
        <w:rPr>
          <w:sz w:val="24"/>
          <w:vertAlign w:val="superscript"/>
          <w:lang w:val="es-ES"/>
        </w:rPr>
        <w:t>1</w:t>
      </w:r>
      <w:r w:rsidR="00DB3E36" w:rsidRPr="008124FE">
        <w:rPr>
          <w:sz w:val="24"/>
          <w:lang w:val="es-ES"/>
        </w:rPr>
        <w:t xml:space="preserve">, </w:t>
      </w:r>
      <w:r w:rsidRPr="008124FE">
        <w:rPr>
          <w:sz w:val="24"/>
          <w:lang w:val="es-ES"/>
        </w:rPr>
        <w:t>Juan Diego Iberico Leonardo</w:t>
      </w:r>
      <w:r w:rsidRPr="008124FE">
        <w:rPr>
          <w:sz w:val="24"/>
          <w:vertAlign w:val="superscript"/>
          <w:lang w:val="es-ES"/>
        </w:rPr>
        <w:t>1</w:t>
      </w:r>
      <w:r w:rsidR="00DB3E36" w:rsidRPr="008124FE">
        <w:rPr>
          <w:sz w:val="24"/>
          <w:lang w:val="es-ES"/>
        </w:rPr>
        <w:t xml:space="preserve">, </w:t>
      </w:r>
      <w:r w:rsidRPr="008124FE">
        <w:rPr>
          <w:sz w:val="24"/>
          <w:lang w:val="es-ES"/>
        </w:rPr>
        <w:t>F</w:t>
      </w:r>
      <w:r w:rsidR="00DB3E36" w:rsidRPr="008124FE">
        <w:rPr>
          <w:sz w:val="24"/>
          <w:lang w:val="es-ES"/>
        </w:rPr>
        <w:t>e</w:t>
      </w:r>
      <w:r w:rsidRPr="008124FE">
        <w:rPr>
          <w:sz w:val="24"/>
          <w:lang w:val="es-ES"/>
        </w:rPr>
        <w:t>rnando Scar</w:t>
      </w:r>
      <w:r>
        <w:rPr>
          <w:sz w:val="24"/>
          <w:lang w:val="es-ES"/>
        </w:rPr>
        <w:t>afia</w:t>
      </w:r>
      <w:r w:rsidR="00DB3E36" w:rsidRPr="008124FE">
        <w:rPr>
          <w:sz w:val="24"/>
          <w:vertAlign w:val="superscript"/>
          <w:lang w:val="es-ES"/>
        </w:rPr>
        <w:t>1</w:t>
      </w:r>
    </w:p>
    <w:p w14:paraId="145ED400" w14:textId="77777777" w:rsidR="00DB3E36" w:rsidRPr="008124FE" w:rsidRDefault="00DB3E36" w:rsidP="00DB3E36">
      <w:pPr>
        <w:rPr>
          <w:sz w:val="24"/>
          <w:lang w:val="es-ES"/>
        </w:rPr>
      </w:pPr>
    </w:p>
    <w:p w14:paraId="4237AA8D" w14:textId="6D7E24E1" w:rsidR="008124FE" w:rsidRPr="008124FE" w:rsidRDefault="00DB3E36" w:rsidP="008124FE">
      <w:pPr>
        <w:jc w:val="center"/>
        <w:rPr>
          <w:i/>
          <w:sz w:val="24"/>
          <w:lang w:val="en-GB"/>
        </w:rPr>
      </w:pPr>
      <w:r>
        <w:rPr>
          <w:i/>
          <w:sz w:val="24"/>
          <w:vertAlign w:val="superscript"/>
        </w:rPr>
        <w:t>1</w:t>
      </w:r>
      <w:r w:rsidR="008124FE" w:rsidRPr="008124FE">
        <w:rPr>
          <w:rFonts w:ascii="Arial" w:eastAsia="Arial" w:hAnsi="Arial" w:cs="Arial"/>
          <w:i/>
          <w:iCs/>
          <w:sz w:val="22"/>
          <w:szCs w:val="22"/>
          <w:lang w:val="en-GB" w:eastAsia="en-GB"/>
        </w:rPr>
        <w:t xml:space="preserve"> </w:t>
      </w:r>
      <w:r w:rsidR="008124FE" w:rsidRPr="008124FE">
        <w:rPr>
          <w:i/>
          <w:iCs/>
          <w:sz w:val="24"/>
          <w:lang w:val="en-GB"/>
        </w:rPr>
        <w:t>IDOM Consulting, Engineering &amp; Architecture</w:t>
      </w:r>
    </w:p>
    <w:p w14:paraId="678DBD7A" w14:textId="77777777" w:rsidR="008124FE" w:rsidRPr="008124FE" w:rsidRDefault="008124FE" w:rsidP="008124FE">
      <w:pPr>
        <w:jc w:val="center"/>
        <w:rPr>
          <w:i/>
          <w:sz w:val="24"/>
          <w:lang w:val="en-GB"/>
        </w:rPr>
      </w:pPr>
      <w:r w:rsidRPr="008124FE">
        <w:rPr>
          <w:i/>
          <w:iCs/>
          <w:sz w:val="24"/>
          <w:lang w:val="en-GB"/>
        </w:rPr>
        <w:t>Culham Campus, UK Atomic Energy Authority</w:t>
      </w:r>
    </w:p>
    <w:p w14:paraId="43AAE11D" w14:textId="77777777" w:rsidR="008124FE" w:rsidRPr="008124FE" w:rsidRDefault="008124FE" w:rsidP="008124FE">
      <w:pPr>
        <w:jc w:val="center"/>
        <w:rPr>
          <w:i/>
          <w:sz w:val="24"/>
          <w:lang w:val="en-GB"/>
        </w:rPr>
      </w:pPr>
      <w:r w:rsidRPr="008124FE">
        <w:rPr>
          <w:i/>
          <w:iCs/>
          <w:sz w:val="24"/>
          <w:lang w:val="en-GB"/>
        </w:rPr>
        <w:t>Abingdon, Oxfordshire, OX14 3DB, United Kingdom</w:t>
      </w:r>
    </w:p>
    <w:p w14:paraId="14F7D2FA" w14:textId="6C96BA83" w:rsidR="00DB3E36" w:rsidRPr="008124FE" w:rsidRDefault="00DB3E36" w:rsidP="00DB3E36">
      <w:pPr>
        <w:jc w:val="center"/>
        <w:rPr>
          <w:i/>
          <w:sz w:val="24"/>
          <w:lang w:val="en-GB"/>
        </w:rPr>
      </w:pPr>
    </w:p>
    <w:p w14:paraId="0BC07B8A" w14:textId="54F91518" w:rsidR="00DB3E36" w:rsidRDefault="00DB3E36" w:rsidP="00E8630A">
      <w:pPr>
        <w:spacing w:after="120"/>
        <w:jc w:val="center"/>
        <w:rPr>
          <w:iCs/>
          <w:sz w:val="24"/>
        </w:rPr>
      </w:pPr>
      <w:r>
        <w:rPr>
          <w:iCs/>
          <w:sz w:val="24"/>
        </w:rPr>
        <w:t xml:space="preserve">Corresponding Author Email: </w:t>
      </w:r>
      <w:hyperlink r:id="rId9" w:history="1">
        <w:r w:rsidR="008124FE" w:rsidRPr="0080233D">
          <w:rPr>
            <w:rStyle w:val="Hyperlink"/>
            <w:iCs/>
            <w:sz w:val="24"/>
          </w:rPr>
          <w:t>alexandre.sureda@idom.com</w:t>
        </w:r>
      </w:hyperlink>
      <w:r w:rsidR="007B29CD">
        <w:rPr>
          <w:iCs/>
          <w:sz w:val="24"/>
        </w:rPr>
        <w:t xml:space="preserve">   </w:t>
      </w:r>
    </w:p>
    <w:p w14:paraId="72501B66" w14:textId="77777777" w:rsidR="00DB3E36" w:rsidRDefault="00DB3E36" w:rsidP="00DB3E36">
      <w:pPr>
        <w:jc w:val="center"/>
        <w:rPr>
          <w:iCs/>
          <w:sz w:val="24"/>
          <w:u w:val="single"/>
        </w:rPr>
      </w:pPr>
    </w:p>
    <w:p w14:paraId="3A129630" w14:textId="77777777" w:rsidR="00E8630A" w:rsidRDefault="00E8630A" w:rsidP="00DB3E36">
      <w:pPr>
        <w:jc w:val="both"/>
        <w:rPr>
          <w:sz w:val="24"/>
        </w:rPr>
      </w:pPr>
    </w:p>
    <w:p w14:paraId="78B1C2E5" w14:textId="5D93E251" w:rsidR="008124FE" w:rsidRPr="008124FE" w:rsidRDefault="008124FE" w:rsidP="008124FE">
      <w:pPr>
        <w:jc w:val="both"/>
        <w:rPr>
          <w:sz w:val="24"/>
          <w:lang w:val="en-GB"/>
        </w:rPr>
      </w:pPr>
      <w:r w:rsidRPr="008124FE">
        <w:rPr>
          <w:sz w:val="24"/>
          <w:lang w:val="en-GB"/>
        </w:rPr>
        <w:t>The efficient and accurate design of tritium breeder blankets is essential for the success of nuclear fusion reactors, playing a vital role in achieving optimal performance and safety. This study, developed within the LIBRTI programme funded by UK Atomic Energy Authority (UKAEA), introduces a comprehensive workflow that integrates parametric geometry generation, meshing, and multiphysics simulation to analyze tritium breeder blanket architectures, with particular emphasis on the methodology for correlating scaled mock-up results to full-size blanket performance.</w:t>
      </w:r>
    </w:p>
    <w:p w14:paraId="568EC998" w14:textId="77777777" w:rsidR="008124FE" w:rsidRPr="008124FE" w:rsidRDefault="008124FE" w:rsidP="008124FE">
      <w:pPr>
        <w:jc w:val="both"/>
        <w:rPr>
          <w:sz w:val="24"/>
          <w:lang w:val="en-GB"/>
        </w:rPr>
      </w:pPr>
      <w:r w:rsidRPr="008124FE">
        <w:rPr>
          <w:sz w:val="24"/>
          <w:lang w:val="en-GB"/>
        </w:rPr>
        <w:t>The workflow begins with parametric geometry modeling using ParaBlank, an open-source Python tool developed by IDOM for the STEP programme. ParaBlank integrates CadQuery-based parametric geometry generation, high-quality conformal meshing with Gmsh, and geometry conversion to DAGMC for neutronics. Material properties, boundary conditions, and physical parameters are embedded directly during geometry creation, ensuring geometric consistency across disciplines by preserving face-level tags.</w:t>
      </w:r>
    </w:p>
    <w:p w14:paraId="3ED8B68B" w14:textId="77777777" w:rsidR="008124FE" w:rsidRPr="008124FE" w:rsidRDefault="008124FE" w:rsidP="008124FE">
      <w:pPr>
        <w:jc w:val="both"/>
        <w:rPr>
          <w:sz w:val="24"/>
          <w:lang w:val="en-GB"/>
        </w:rPr>
      </w:pPr>
      <w:r w:rsidRPr="008124FE">
        <w:rPr>
          <w:sz w:val="24"/>
          <w:lang w:val="en-GB"/>
        </w:rPr>
        <w:t>The SALAMANDER platform, developed by Idaho National Laboratory, serves as the core simulation framework, integrating key physics domains: neutronics via OpenMC, thermal-hydraulics and thermomechanics via MOOSE, and multiscale tritium transport via TMAP8 for predicting tritium release to the purge gas.</w:t>
      </w:r>
    </w:p>
    <w:p w14:paraId="1ADFC2AC" w14:textId="77777777" w:rsidR="008124FE" w:rsidRPr="008124FE" w:rsidRDefault="008124FE" w:rsidP="008124FE">
      <w:pPr>
        <w:jc w:val="both"/>
        <w:rPr>
          <w:sz w:val="24"/>
          <w:lang w:val="en-GB"/>
        </w:rPr>
      </w:pPr>
      <w:r w:rsidRPr="008124FE">
        <w:rPr>
          <w:sz w:val="24"/>
          <w:lang w:val="en-GB"/>
        </w:rPr>
        <w:t>A key methodological contribution addresses the computational challenge of full-scale blanket simulation. At the mock-up scale, detailed multiphysics simulations produce data for global sensitivity analysis to identify the parameters governing blanket performance. At full-size blanket scale, where detailed 3D simulations become computationally impractical, system-level analyses leverage the MOOSE Thermal Hydraulics Module combined with reduced-order representations of pin-level physics, informed by the mock-up simulation results, to efficiently capture essential local behaviour within each breeder unit.</w:t>
      </w:r>
    </w:p>
    <w:p w14:paraId="153C019A" w14:textId="77777777" w:rsidR="008124FE" w:rsidRPr="008124FE" w:rsidRDefault="008124FE" w:rsidP="008124FE">
      <w:pPr>
        <w:jc w:val="both"/>
        <w:rPr>
          <w:sz w:val="24"/>
          <w:lang w:val="en-GB"/>
        </w:rPr>
      </w:pPr>
      <w:r w:rsidRPr="008124FE">
        <w:rPr>
          <w:sz w:val="24"/>
          <w:lang w:val="en-GB"/>
        </w:rPr>
        <w:t>The analysis focuses on critical performance metrics including neutronic heat deposition, Tritium Breeding Ratio, thermal performance, structural integrity, coolant behaviour, and tritium release characteristics. The derived correlations between mock-up and full-scale behaviour provide insights for experimental validation and their implications at fusion reactor level.</w:t>
      </w:r>
    </w:p>
    <w:p w14:paraId="7220AC1C" w14:textId="3A161E81" w:rsidR="00DB3E36" w:rsidRPr="008124FE" w:rsidRDefault="00DB3E36" w:rsidP="008124FE">
      <w:pPr>
        <w:jc w:val="both"/>
        <w:rPr>
          <w:sz w:val="24"/>
          <w:lang w:val="en-GB"/>
        </w:rPr>
      </w:pPr>
    </w:p>
    <w:p w14:paraId="4BDDDB77" w14:textId="77777777" w:rsidR="00096AB2" w:rsidRDefault="00096AB2" w:rsidP="00DB3E36">
      <w:pPr>
        <w:jc w:val="both"/>
        <w:rPr>
          <w:sz w:val="24"/>
        </w:rPr>
      </w:pPr>
    </w:p>
    <w:p w14:paraId="4212411A" w14:textId="77777777" w:rsidR="00096AB2" w:rsidRDefault="00096AB2" w:rsidP="00DB3E36">
      <w:pPr>
        <w:jc w:val="both"/>
        <w:rPr>
          <w:sz w:val="24"/>
        </w:rPr>
      </w:pPr>
    </w:p>
    <w:p w14:paraId="45DC0E10" w14:textId="77777777" w:rsidR="00096AB2" w:rsidRDefault="00096AB2" w:rsidP="00DB3E36">
      <w:pPr>
        <w:jc w:val="both"/>
        <w:rPr>
          <w:sz w:val="24"/>
        </w:rPr>
      </w:pPr>
    </w:p>
    <w:p w14:paraId="7477613A" w14:textId="77777777" w:rsidR="00096AB2" w:rsidRDefault="00096AB2" w:rsidP="00DB3E36">
      <w:pPr>
        <w:jc w:val="both"/>
        <w:rPr>
          <w:sz w:val="24"/>
        </w:rPr>
      </w:pPr>
    </w:p>
    <w:p w14:paraId="1AF3437F" w14:textId="77777777" w:rsidR="00096AB2" w:rsidRDefault="00096AB2" w:rsidP="00DB3E36">
      <w:pPr>
        <w:jc w:val="both"/>
        <w:rPr>
          <w:sz w:val="24"/>
        </w:rPr>
      </w:pPr>
    </w:p>
    <w:p w14:paraId="6B39F351" w14:textId="77777777" w:rsidR="00096AB2" w:rsidRDefault="00096AB2" w:rsidP="00DB3E36">
      <w:pPr>
        <w:jc w:val="both"/>
        <w:rPr>
          <w:sz w:val="24"/>
        </w:rPr>
      </w:pPr>
    </w:p>
    <w:p w14:paraId="6FCD9455" w14:textId="77777777" w:rsidR="00096AB2" w:rsidRDefault="00096AB2" w:rsidP="00DB3E36">
      <w:pPr>
        <w:jc w:val="both"/>
        <w:rPr>
          <w:sz w:val="24"/>
        </w:rPr>
      </w:pPr>
    </w:p>
    <w:p w14:paraId="3E504962" w14:textId="77777777" w:rsidR="00096AB2" w:rsidRDefault="00096AB2" w:rsidP="00DB3E36">
      <w:pPr>
        <w:jc w:val="both"/>
        <w:rPr>
          <w:sz w:val="24"/>
        </w:rPr>
      </w:pPr>
    </w:p>
    <w:p w14:paraId="318017F6" w14:textId="77777777" w:rsidR="00096AB2" w:rsidRDefault="00096AB2" w:rsidP="00DB3E36">
      <w:pPr>
        <w:jc w:val="both"/>
        <w:rPr>
          <w:sz w:val="24"/>
        </w:rPr>
      </w:pPr>
    </w:p>
    <w:p w14:paraId="728847B2" w14:textId="77777777" w:rsidR="00096AB2" w:rsidRDefault="00096AB2" w:rsidP="00DB3E36">
      <w:pPr>
        <w:jc w:val="both"/>
        <w:rPr>
          <w:sz w:val="24"/>
        </w:rPr>
      </w:pPr>
    </w:p>
    <w:p w14:paraId="5A1524D0" w14:textId="77777777" w:rsidR="00096AB2" w:rsidRDefault="00096AB2" w:rsidP="00DB3E36">
      <w:pPr>
        <w:jc w:val="both"/>
        <w:rPr>
          <w:sz w:val="24"/>
        </w:rPr>
      </w:pPr>
    </w:p>
    <w:p w14:paraId="35055617" w14:textId="77777777" w:rsidR="00096AB2" w:rsidRDefault="00096AB2" w:rsidP="00DB3E36">
      <w:pPr>
        <w:jc w:val="both"/>
        <w:rPr>
          <w:sz w:val="24"/>
        </w:rPr>
      </w:pPr>
    </w:p>
    <w:p w14:paraId="16EAF25B" w14:textId="77777777" w:rsidR="00096AB2" w:rsidRDefault="00096AB2" w:rsidP="00DB3E36">
      <w:pPr>
        <w:jc w:val="both"/>
        <w:rPr>
          <w:sz w:val="24"/>
        </w:rPr>
      </w:pPr>
    </w:p>
    <w:p w14:paraId="5FFFBDC4" w14:textId="77777777" w:rsidR="00096AB2" w:rsidRDefault="00096AB2" w:rsidP="00DB3E36">
      <w:pPr>
        <w:jc w:val="both"/>
        <w:rPr>
          <w:sz w:val="24"/>
        </w:rPr>
      </w:pPr>
    </w:p>
    <w:p w14:paraId="6F2F91AA" w14:textId="77777777" w:rsidR="00096AB2" w:rsidRDefault="00096AB2" w:rsidP="00DB3E36">
      <w:pPr>
        <w:jc w:val="both"/>
        <w:rPr>
          <w:sz w:val="24"/>
        </w:rPr>
      </w:pPr>
    </w:p>
    <w:p w14:paraId="477BFDA2" w14:textId="77777777" w:rsidR="00096AB2" w:rsidRDefault="00096AB2" w:rsidP="00DB3E36">
      <w:pPr>
        <w:jc w:val="both"/>
        <w:rPr>
          <w:sz w:val="24"/>
        </w:rPr>
      </w:pPr>
    </w:p>
    <w:p w14:paraId="6539577C" w14:textId="77777777" w:rsidR="00096AB2" w:rsidRDefault="00096AB2" w:rsidP="00DB3E36">
      <w:pPr>
        <w:jc w:val="both"/>
        <w:rPr>
          <w:sz w:val="24"/>
        </w:rPr>
      </w:pPr>
    </w:p>
    <w:p w14:paraId="583F5A5C" w14:textId="77777777" w:rsidR="00096AB2" w:rsidRDefault="00096AB2" w:rsidP="00DB3E36">
      <w:pPr>
        <w:jc w:val="both"/>
        <w:rPr>
          <w:sz w:val="24"/>
        </w:rPr>
      </w:pPr>
    </w:p>
    <w:p w14:paraId="1F1FA641" w14:textId="77777777" w:rsidR="00096AB2" w:rsidRDefault="00096AB2" w:rsidP="00DB3E36">
      <w:pPr>
        <w:jc w:val="both"/>
        <w:rPr>
          <w:sz w:val="24"/>
        </w:rPr>
      </w:pPr>
    </w:p>
    <w:p w14:paraId="6EDD6198" w14:textId="77777777" w:rsidR="00096AB2" w:rsidRDefault="00096AB2" w:rsidP="00DB3E36">
      <w:pPr>
        <w:jc w:val="both"/>
        <w:rPr>
          <w:sz w:val="24"/>
        </w:rPr>
      </w:pPr>
    </w:p>
    <w:p w14:paraId="1F1217A5" w14:textId="77777777" w:rsidR="00096AB2" w:rsidRDefault="00096AB2" w:rsidP="00DB3E36">
      <w:pPr>
        <w:jc w:val="both"/>
        <w:rPr>
          <w:sz w:val="24"/>
        </w:rPr>
      </w:pPr>
    </w:p>
    <w:p w14:paraId="6ED62542" w14:textId="77777777" w:rsidR="00096AB2" w:rsidRDefault="00096AB2" w:rsidP="00DB3E36">
      <w:pPr>
        <w:jc w:val="both"/>
        <w:rPr>
          <w:sz w:val="24"/>
        </w:rPr>
      </w:pPr>
    </w:p>
    <w:p w14:paraId="0E58296F" w14:textId="77777777" w:rsidR="00096AB2" w:rsidRDefault="00096AB2" w:rsidP="00DB3E36">
      <w:pPr>
        <w:jc w:val="both"/>
        <w:rPr>
          <w:sz w:val="24"/>
        </w:rPr>
      </w:pPr>
    </w:p>
    <w:p w14:paraId="0A719975" w14:textId="77777777" w:rsidR="00096AB2" w:rsidRDefault="00096AB2" w:rsidP="00DB3E36">
      <w:pPr>
        <w:jc w:val="both"/>
        <w:rPr>
          <w:sz w:val="24"/>
        </w:rPr>
      </w:pPr>
    </w:p>
    <w:tbl>
      <w:tblPr>
        <w:tblStyle w:val="TableGrid"/>
        <w:tblW w:w="0" w:type="auto"/>
        <w:jc w:val="center"/>
        <w:tblLook w:val="04A0" w:firstRow="1" w:lastRow="0" w:firstColumn="1" w:lastColumn="0" w:noHBand="0" w:noVBand="1"/>
      </w:tblPr>
      <w:tblGrid>
        <w:gridCol w:w="2547"/>
        <w:gridCol w:w="2835"/>
      </w:tblGrid>
      <w:tr w:rsidR="00096AB2" w14:paraId="6AA624F1" w14:textId="77777777" w:rsidTr="0025113E">
        <w:trPr>
          <w:jc w:val="center"/>
        </w:trPr>
        <w:tc>
          <w:tcPr>
            <w:tcW w:w="2547" w:type="dxa"/>
            <w:vMerge w:val="restart"/>
          </w:tcPr>
          <w:p w14:paraId="2B232C56" w14:textId="606DF2F0" w:rsidR="00096AB2" w:rsidRDefault="00096AB2" w:rsidP="0025113E">
            <w:pPr>
              <w:rPr>
                <w:iCs/>
                <w:sz w:val="24"/>
              </w:rPr>
            </w:pPr>
            <w:r>
              <w:rPr>
                <w:iCs/>
                <w:sz w:val="24"/>
              </w:rPr>
              <w:t>Type of contribution:</w:t>
            </w:r>
          </w:p>
        </w:tc>
        <w:tc>
          <w:tcPr>
            <w:tcW w:w="2835" w:type="dxa"/>
          </w:tcPr>
          <w:p w14:paraId="7F689842" w14:textId="77777777" w:rsidR="00096AB2" w:rsidRDefault="00096AB2" w:rsidP="0025113E">
            <w:pPr>
              <w:rPr>
                <w:iCs/>
                <w:sz w:val="24"/>
              </w:rPr>
            </w:pPr>
            <w:r>
              <w:rPr>
                <w:iCs/>
                <w:sz w:val="24"/>
              </w:rPr>
              <w:t xml:space="preserve">Poster session               </w:t>
            </w:r>
            <w:sdt>
              <w:sdtPr>
                <w:rPr>
                  <w:b/>
                  <w:bCs/>
                  <w:iCs/>
                  <w:sz w:val="24"/>
                </w:rPr>
                <w:id w:val="-506132384"/>
                <w14:checkbox>
                  <w14:checked w14:val="0"/>
                  <w14:checkedState w14:val="2612" w14:font="MS Gothic"/>
                  <w14:uncheckedState w14:val="2610" w14:font="MS Gothic"/>
                </w14:checkbox>
              </w:sdtPr>
              <w:sdtContent>
                <w:r>
                  <w:rPr>
                    <w:rFonts w:ascii="MS Gothic" w:eastAsia="MS Gothic" w:hAnsi="MS Gothic" w:hint="eastAsia"/>
                    <w:b/>
                    <w:bCs/>
                    <w:iCs/>
                    <w:sz w:val="24"/>
                  </w:rPr>
                  <w:t>☐</w:t>
                </w:r>
              </w:sdtContent>
            </w:sdt>
            <w:r>
              <w:rPr>
                <w:iCs/>
                <w:sz w:val="24"/>
              </w:rPr>
              <w:t xml:space="preserve"> </w:t>
            </w:r>
          </w:p>
        </w:tc>
      </w:tr>
      <w:tr w:rsidR="00096AB2" w14:paraId="153A603A" w14:textId="77777777" w:rsidTr="0025113E">
        <w:trPr>
          <w:jc w:val="center"/>
        </w:trPr>
        <w:tc>
          <w:tcPr>
            <w:tcW w:w="2547" w:type="dxa"/>
            <w:vMerge/>
          </w:tcPr>
          <w:p w14:paraId="02E43341" w14:textId="77777777" w:rsidR="00096AB2" w:rsidRDefault="00096AB2" w:rsidP="0025113E">
            <w:pPr>
              <w:rPr>
                <w:iCs/>
                <w:sz w:val="24"/>
              </w:rPr>
            </w:pPr>
          </w:p>
        </w:tc>
        <w:tc>
          <w:tcPr>
            <w:tcW w:w="2835" w:type="dxa"/>
          </w:tcPr>
          <w:p w14:paraId="078F0834" w14:textId="6F9247A5" w:rsidR="00096AB2" w:rsidRDefault="00096AB2" w:rsidP="0025113E">
            <w:pPr>
              <w:rPr>
                <w:iCs/>
                <w:sz w:val="24"/>
              </w:rPr>
            </w:pPr>
            <w:r>
              <w:rPr>
                <w:iCs/>
                <w:sz w:val="24"/>
              </w:rPr>
              <w:t xml:space="preserve">Oral Contribution         </w:t>
            </w:r>
            <w:sdt>
              <w:sdtPr>
                <w:rPr>
                  <w:b/>
                  <w:bCs/>
                  <w:iCs/>
                  <w:sz w:val="24"/>
                </w:rPr>
                <w:id w:val="-519542827"/>
                <w14:checkbox>
                  <w14:checked w14:val="1"/>
                  <w14:checkedState w14:val="2612" w14:font="MS Gothic"/>
                  <w14:uncheckedState w14:val="2610" w14:font="MS Gothic"/>
                </w14:checkbox>
              </w:sdtPr>
              <w:sdtContent>
                <w:r w:rsidR="008124FE">
                  <w:rPr>
                    <w:rFonts w:ascii="MS Gothic" w:eastAsia="MS Gothic" w:hAnsi="MS Gothic" w:hint="eastAsia"/>
                    <w:b/>
                    <w:bCs/>
                    <w:iCs/>
                    <w:sz w:val="24"/>
                  </w:rPr>
                  <w:t>☒</w:t>
                </w:r>
              </w:sdtContent>
            </w:sdt>
          </w:p>
        </w:tc>
      </w:tr>
    </w:tbl>
    <w:p w14:paraId="284CF36C" w14:textId="77777777" w:rsidR="00096AB2" w:rsidRDefault="00096AB2" w:rsidP="00DB3E36">
      <w:pPr>
        <w:jc w:val="both"/>
        <w:rPr>
          <w:sz w:val="24"/>
        </w:rPr>
      </w:pPr>
    </w:p>
    <w:sectPr w:rsidR="00096AB2" w:rsidSect="00D956B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090D" w14:textId="77777777" w:rsidR="005B73F4" w:rsidRDefault="005B73F4">
      <w:r>
        <w:separator/>
      </w:r>
    </w:p>
  </w:endnote>
  <w:endnote w:type="continuationSeparator" w:id="0">
    <w:p w14:paraId="436B7A36" w14:textId="77777777" w:rsidR="005B73F4" w:rsidRDefault="005B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C857" w14:textId="77777777" w:rsidR="002C752D" w:rsidRDefault="002C7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725E3" w14:textId="77777777" w:rsidR="002C752D" w:rsidRDefault="002C7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B91D" w14:textId="77777777" w:rsidR="002C752D" w:rsidRDefault="002C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0F4B" w14:textId="77777777" w:rsidR="005B73F4" w:rsidRDefault="005B73F4">
      <w:r>
        <w:separator/>
      </w:r>
    </w:p>
  </w:footnote>
  <w:footnote w:type="continuationSeparator" w:id="0">
    <w:p w14:paraId="77C478AD" w14:textId="77777777" w:rsidR="005B73F4" w:rsidRDefault="005B7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FC36" w14:textId="77777777" w:rsidR="002C752D" w:rsidRDefault="002C7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0DD7" w14:textId="77777777" w:rsidR="002C752D" w:rsidRDefault="002C7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0752" w14:textId="77777777" w:rsidR="002C752D" w:rsidRDefault="002C7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E3NTe0MDMwN7NU0lEKTi0uzszPAykwrAUAH6u8UywAAAA="/>
  </w:docVars>
  <w:rsids>
    <w:rsidRoot w:val="00DB3E36"/>
    <w:rsid w:val="00062E86"/>
    <w:rsid w:val="000942B0"/>
    <w:rsid w:val="00096AB2"/>
    <w:rsid w:val="000C1E8B"/>
    <w:rsid w:val="001C2E1D"/>
    <w:rsid w:val="002C752D"/>
    <w:rsid w:val="002D07B6"/>
    <w:rsid w:val="004A73A3"/>
    <w:rsid w:val="00553659"/>
    <w:rsid w:val="00562297"/>
    <w:rsid w:val="005B73F4"/>
    <w:rsid w:val="005D14AD"/>
    <w:rsid w:val="00636B4E"/>
    <w:rsid w:val="00724EE4"/>
    <w:rsid w:val="007921F1"/>
    <w:rsid w:val="007A67E8"/>
    <w:rsid w:val="007B29CD"/>
    <w:rsid w:val="00805BCC"/>
    <w:rsid w:val="00807A54"/>
    <w:rsid w:val="008124FE"/>
    <w:rsid w:val="0085430E"/>
    <w:rsid w:val="00866E67"/>
    <w:rsid w:val="009737D6"/>
    <w:rsid w:val="00A31997"/>
    <w:rsid w:val="00A84D73"/>
    <w:rsid w:val="00B74092"/>
    <w:rsid w:val="00B83222"/>
    <w:rsid w:val="00D52D69"/>
    <w:rsid w:val="00DB3E36"/>
    <w:rsid w:val="00E007B3"/>
    <w:rsid w:val="00E716CB"/>
    <w:rsid w:val="00E80D81"/>
    <w:rsid w:val="00E8630A"/>
    <w:rsid w:val="00F61760"/>
    <w:rsid w:val="00FC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AA83"/>
  <w15:chartTrackingRefBased/>
  <w15:docId w15:val="{279FD900-7582-47D9-A1AB-384B2AEE1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E36"/>
    <w:rPr>
      <w:rFonts w:ascii="Times New Roman" w:eastAsia="Times New Roman" w:hAnsi="Times New Roman"/>
      <w:lang w:eastAsia="ja-JP"/>
    </w:rPr>
  </w:style>
  <w:style w:type="paragraph" w:styleId="Heading1">
    <w:name w:val="heading 1"/>
    <w:basedOn w:val="Normal"/>
    <w:next w:val="Normal"/>
    <w:link w:val="Heading1Char"/>
    <w:uiPriority w:val="9"/>
    <w:qFormat/>
    <w:rsid w:val="002D07B6"/>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B3E36"/>
    <w:pPr>
      <w:ind w:firstLine="360"/>
    </w:pPr>
  </w:style>
  <w:style w:type="character" w:styleId="Hyperlink">
    <w:name w:val="Hyperlink"/>
    <w:uiPriority w:val="99"/>
    <w:unhideWhenUsed/>
    <w:rsid w:val="00DB3E36"/>
    <w:rPr>
      <w:color w:val="0000FF"/>
      <w:u w:val="single"/>
    </w:rPr>
  </w:style>
  <w:style w:type="paragraph" w:styleId="Header">
    <w:name w:val="header"/>
    <w:basedOn w:val="Normal"/>
    <w:link w:val="HeaderChar"/>
    <w:uiPriority w:val="99"/>
    <w:unhideWhenUsed/>
    <w:rsid w:val="00DB3E36"/>
    <w:pPr>
      <w:tabs>
        <w:tab w:val="center" w:pos="4680"/>
        <w:tab w:val="right" w:pos="9360"/>
      </w:tabs>
    </w:pPr>
  </w:style>
  <w:style w:type="character" w:customStyle="1" w:styleId="HeaderChar">
    <w:name w:val="Header Char"/>
    <w:link w:val="Header"/>
    <w:uiPriority w:val="99"/>
    <w:rsid w:val="00DB3E36"/>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DB3E36"/>
    <w:pPr>
      <w:tabs>
        <w:tab w:val="center" w:pos="4680"/>
        <w:tab w:val="right" w:pos="9360"/>
      </w:tabs>
    </w:pPr>
  </w:style>
  <w:style w:type="character" w:customStyle="1" w:styleId="FooterChar">
    <w:name w:val="Footer Char"/>
    <w:link w:val="Footer"/>
    <w:uiPriority w:val="99"/>
    <w:rsid w:val="00DB3E36"/>
    <w:rPr>
      <w:rFonts w:ascii="Times New Roman" w:eastAsia="Times New Roman" w:hAnsi="Times New Roman" w:cs="Times New Roman"/>
      <w:sz w:val="20"/>
      <w:szCs w:val="20"/>
      <w:lang w:eastAsia="ja-JP"/>
    </w:rPr>
  </w:style>
  <w:style w:type="paragraph" w:styleId="Title">
    <w:name w:val="Title"/>
    <w:basedOn w:val="Normal"/>
    <w:next w:val="Normal"/>
    <w:link w:val="TitleChar"/>
    <w:uiPriority w:val="10"/>
    <w:qFormat/>
    <w:rsid w:val="00DB3E36"/>
    <w:pPr>
      <w:contextualSpacing/>
    </w:pPr>
    <w:rPr>
      <w:rFonts w:ascii="Calibri Light" w:hAnsi="Calibri Light"/>
      <w:spacing w:val="-10"/>
      <w:kern w:val="28"/>
      <w:sz w:val="56"/>
      <w:szCs w:val="56"/>
    </w:rPr>
  </w:style>
  <w:style w:type="character" w:customStyle="1" w:styleId="TitleChar">
    <w:name w:val="Title Char"/>
    <w:link w:val="Title"/>
    <w:uiPriority w:val="10"/>
    <w:rsid w:val="00DB3E36"/>
    <w:rPr>
      <w:rFonts w:ascii="Calibri Light" w:eastAsia="Times New Roman" w:hAnsi="Calibri Light" w:cs="Times New Roman"/>
      <w:spacing w:val="-10"/>
      <w:kern w:val="28"/>
      <w:sz w:val="56"/>
      <w:szCs w:val="56"/>
      <w:lang w:eastAsia="ja-JP"/>
    </w:rPr>
  </w:style>
  <w:style w:type="character" w:customStyle="1" w:styleId="Heading1Char">
    <w:name w:val="Heading 1 Char"/>
    <w:link w:val="Heading1"/>
    <w:uiPriority w:val="9"/>
    <w:rsid w:val="002D07B6"/>
    <w:rPr>
      <w:rFonts w:ascii="Calibri Light" w:eastAsia="Times New Roman" w:hAnsi="Calibri Light" w:cs="Times New Roman"/>
      <w:color w:val="2E74B5"/>
      <w:sz w:val="32"/>
      <w:szCs w:val="32"/>
      <w:lang w:eastAsia="ja-JP"/>
    </w:rPr>
  </w:style>
  <w:style w:type="character" w:styleId="UnresolvedMention">
    <w:name w:val="Unresolved Mention"/>
    <w:basedOn w:val="DefaultParagraphFont"/>
    <w:uiPriority w:val="99"/>
    <w:semiHidden/>
    <w:unhideWhenUsed/>
    <w:rsid w:val="007B29CD"/>
    <w:rPr>
      <w:color w:val="605E5C"/>
      <w:shd w:val="clear" w:color="auto" w:fill="E1DFDD"/>
    </w:rPr>
  </w:style>
  <w:style w:type="table" w:styleId="TableGrid">
    <w:name w:val="Table Grid"/>
    <w:basedOn w:val="TableNormal"/>
    <w:uiPriority w:val="39"/>
    <w:rsid w:val="00973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exandre.sureda@ido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2f2610-36d7-4e00-a50a-5418b612b21e" xsi:nil="true"/>
    <lcf76f155ced4ddcb4097134ff3c332f xmlns="dac7d76e-4156-4210-9604-d2ff15f314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0721546272CD468B18464B66B4DFB7" ma:contentTypeVersion="13" ma:contentTypeDescription="Create a new document." ma:contentTypeScope="" ma:versionID="6ec0361c81a0d826427ce655ba51706c">
  <xsd:schema xmlns:xsd="http://www.w3.org/2001/XMLSchema" xmlns:xs="http://www.w3.org/2001/XMLSchema" xmlns:p="http://schemas.microsoft.com/office/2006/metadata/properties" xmlns:ns2="dac7d76e-4156-4210-9604-d2ff15f3146b" xmlns:ns3="232f2610-36d7-4e00-a50a-5418b612b21e" targetNamespace="http://schemas.microsoft.com/office/2006/metadata/properties" ma:root="true" ma:fieldsID="fab9b9f7b972699cccb08ebb2d27ca7e" ns2:_="" ns3:_="">
    <xsd:import namespace="dac7d76e-4156-4210-9604-d2ff15f3146b"/>
    <xsd:import namespace="232f2610-36d7-4e00-a50a-5418b612b2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7d76e-4156-4210-9604-d2ff15f31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641f5-0da7-4f48-9a81-ef320f6056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f2610-36d7-4e00-a50a-5418b612b2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7a3bb72-24b6-4347-9801-efcbcc4b578f}" ma:internalName="TaxCatchAll" ma:showField="CatchAllData" ma:web="232f2610-36d7-4e00-a50a-5418b612b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34282-5ADC-4F0F-98CF-0A8AD42DFF5C}">
  <ds:schemaRefs>
    <ds:schemaRef ds:uri="http://schemas.microsoft.com/office/2006/metadata/properties"/>
    <ds:schemaRef ds:uri="http://schemas.microsoft.com/office/infopath/2007/PartnerControls"/>
    <ds:schemaRef ds:uri="232f2610-36d7-4e00-a50a-5418b612b21e"/>
    <ds:schemaRef ds:uri="dac7d76e-4156-4210-9604-d2ff15f3146b"/>
  </ds:schemaRefs>
</ds:datastoreItem>
</file>

<file path=customXml/itemProps2.xml><?xml version="1.0" encoding="utf-8"?>
<ds:datastoreItem xmlns:ds="http://schemas.openxmlformats.org/officeDocument/2006/customXml" ds:itemID="{D4123DBF-88A7-4789-BEE1-3C007C095B03}">
  <ds:schemaRefs>
    <ds:schemaRef ds:uri="http://schemas.microsoft.com/sharepoint/v3/contenttype/forms"/>
  </ds:schemaRefs>
</ds:datastoreItem>
</file>

<file path=customXml/itemProps3.xml><?xml version="1.0" encoding="utf-8"?>
<ds:datastoreItem xmlns:ds="http://schemas.openxmlformats.org/officeDocument/2006/customXml" ds:itemID="{E1E91240-562E-4021-856C-81BB49CB0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7d76e-4156-4210-9604-d2ff15f3146b"/>
    <ds:schemaRef ds:uri="232f2610-36d7-4e00-a50a-5418b612b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MCNP® 2021 User Symposium Abstract Template</vt:lpstr>
    </vt:vector>
  </TitlesOfParts>
  <Company>LANL DCS-CSD</Company>
  <LinksUpToDate>false</LinksUpToDate>
  <CharactersWithSpaces>2869</CharactersWithSpaces>
  <SharedDoc>false</SharedDoc>
  <HyperlinkBase>MCNP® 2021 User Symposium Abstract 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MCNP® 2021 User Symposium Abstract Template</dc:title>
  <dc:subject>Abstract template</dc:subject>
  <dc:creator>Haag, Sarah Marie</dc:creator>
  <cp:keywords/>
  <dc:description/>
  <cp:lastModifiedBy>Alexandre Sureda Croguennoc</cp:lastModifiedBy>
  <cp:revision>2</cp:revision>
  <dcterms:created xsi:type="dcterms:W3CDTF">2026-04-24T21:37:00Z</dcterms:created>
  <dcterms:modified xsi:type="dcterms:W3CDTF">2026-04-24T21:37:00Z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0x010100730721546272CD468B18464B66B4DFB7</vt:lpwstr>
  </property>
</Properties>
</file>